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rPr>
          <w:sz w:val="24"/>
          <w:szCs w:val="24"/>
        </w:rPr>
      </w:pPr>
      <w:bookmarkStart w:id="0" w:name="_Toc275781178"/>
      <w:r>
        <w:rPr>
          <w:rFonts w:hint="eastAsia"/>
          <w:sz w:val="24"/>
          <w:szCs w:val="24"/>
        </w:rPr>
        <w:t>目 录</w:t>
      </w:r>
    </w:p>
    <w:p>
      <w:pPr>
        <w:pStyle w:val="23"/>
        <w:tabs>
          <w:tab w:val="right" w:leader="dot" w:pos="8306"/>
        </w:tabs>
      </w:pPr>
      <w:r>
        <w:rPr>
          <w:rFonts w:ascii="宋体" w:hAnsi="宋体"/>
          <w:b w:val="0"/>
          <w:bCs w:val="0"/>
          <w:caps w:val="0"/>
        </w:rPr>
        <w:fldChar w:fldCharType="begin"/>
      </w:r>
      <w:r>
        <w:rPr>
          <w:rFonts w:ascii="宋体" w:hAnsi="宋体"/>
          <w:b w:val="0"/>
          <w:bCs w:val="0"/>
          <w:caps w:val="0"/>
        </w:rPr>
        <w:instrText xml:space="preserve"> TOC \o "1-3" \h \z \u </w:instrText>
      </w:r>
      <w:r>
        <w:rPr>
          <w:rFonts w:ascii="宋体" w:hAnsi="宋体"/>
          <w:b w:val="0"/>
          <w:bCs w:val="0"/>
          <w:caps w:val="0"/>
        </w:rPr>
        <w:fldChar w:fldCharType="separate"/>
      </w:r>
      <w:r>
        <w:fldChar w:fldCharType="begin"/>
      </w:r>
      <w:r>
        <w:instrText xml:space="preserve"> HYPERLINK \l "_Toc11791" </w:instrText>
      </w:r>
      <w:r>
        <w:fldChar w:fldCharType="separate"/>
      </w:r>
      <w:r>
        <w:rPr>
          <w:rFonts w:hint="eastAsia" w:ascii="宋体" w:hAnsi="宋体"/>
          <w:szCs w:val="36"/>
        </w:rPr>
        <w:t>第一章 招标需求</w:t>
      </w:r>
      <w:r>
        <w:tab/>
      </w:r>
      <w:r>
        <w:fldChar w:fldCharType="begin"/>
      </w:r>
      <w:r>
        <w:instrText xml:space="preserve"> PAGEREF _Toc11791 \h </w:instrText>
      </w:r>
      <w:r>
        <w:fldChar w:fldCharType="separate"/>
      </w:r>
      <w:r>
        <w:t>2</w:t>
      </w:r>
      <w:r>
        <w:fldChar w:fldCharType="end"/>
      </w:r>
      <w:r>
        <w:fldChar w:fldCharType="end"/>
      </w:r>
    </w:p>
    <w:p>
      <w:pPr>
        <w:pStyle w:val="26"/>
        <w:tabs>
          <w:tab w:val="right" w:leader="dot" w:pos="8306"/>
        </w:tabs>
      </w:pPr>
      <w:r>
        <w:fldChar w:fldCharType="begin"/>
      </w:r>
      <w:r>
        <w:instrText xml:space="preserve"> HYPERLINK \l "_Toc13702" </w:instrText>
      </w:r>
      <w:r>
        <w:fldChar w:fldCharType="separate"/>
      </w:r>
      <w:r>
        <w:rPr>
          <w:rFonts w:hint="eastAsia" w:ascii="宋体" w:hAnsi="宋体"/>
          <w:szCs w:val="30"/>
        </w:rPr>
        <w:t>1.1 智能化维护项目概述</w:t>
      </w:r>
      <w:r>
        <w:tab/>
      </w:r>
      <w:r>
        <w:fldChar w:fldCharType="begin"/>
      </w:r>
      <w:r>
        <w:instrText xml:space="preserve"> PAGEREF _Toc13702 \h </w:instrText>
      </w:r>
      <w:r>
        <w:fldChar w:fldCharType="separate"/>
      </w:r>
      <w:r>
        <w:t>2</w:t>
      </w:r>
      <w:r>
        <w:fldChar w:fldCharType="end"/>
      </w:r>
      <w:r>
        <w:fldChar w:fldCharType="end"/>
      </w:r>
    </w:p>
    <w:p>
      <w:pPr>
        <w:pStyle w:val="26"/>
        <w:tabs>
          <w:tab w:val="right" w:leader="dot" w:pos="8306"/>
        </w:tabs>
      </w:pPr>
      <w:r>
        <w:fldChar w:fldCharType="begin"/>
      </w:r>
      <w:r>
        <w:instrText xml:space="preserve"> HYPERLINK \l "_Toc4476" </w:instrText>
      </w:r>
      <w:r>
        <w:fldChar w:fldCharType="separate"/>
      </w:r>
      <w:r>
        <w:rPr>
          <w:rFonts w:hint="eastAsia" w:ascii="宋体" w:hAnsi="宋体"/>
          <w:szCs w:val="30"/>
        </w:rPr>
        <w:t>1.2 系统维护的范围</w:t>
      </w:r>
      <w:r>
        <w:tab/>
      </w:r>
      <w:r>
        <w:fldChar w:fldCharType="begin"/>
      </w:r>
      <w:r>
        <w:instrText xml:space="preserve"> PAGEREF _Toc4476 \h </w:instrText>
      </w:r>
      <w:r>
        <w:fldChar w:fldCharType="separate"/>
      </w:r>
      <w:r>
        <w:t>2</w:t>
      </w:r>
      <w:r>
        <w:fldChar w:fldCharType="end"/>
      </w:r>
      <w:r>
        <w:fldChar w:fldCharType="end"/>
      </w:r>
    </w:p>
    <w:p>
      <w:pPr>
        <w:pStyle w:val="26"/>
        <w:tabs>
          <w:tab w:val="right" w:leader="dot" w:pos="8306"/>
        </w:tabs>
      </w:pPr>
      <w:r>
        <w:fldChar w:fldCharType="begin"/>
      </w:r>
      <w:r>
        <w:instrText xml:space="preserve"> HYPERLINK \l "_Toc18485" </w:instrText>
      </w:r>
      <w:r>
        <w:fldChar w:fldCharType="separate"/>
      </w:r>
      <w:r>
        <w:rPr>
          <w:rFonts w:hint="eastAsia" w:ascii="宋体" w:hAnsi="宋体"/>
          <w:szCs w:val="30"/>
        </w:rPr>
        <w:t>1.3 硬件系统维护内容和要求</w:t>
      </w:r>
      <w:r>
        <w:tab/>
      </w:r>
      <w:r>
        <w:fldChar w:fldCharType="begin"/>
      </w:r>
      <w:r>
        <w:instrText xml:space="preserve"> PAGEREF _Toc18485 \h </w:instrText>
      </w:r>
      <w:r>
        <w:fldChar w:fldCharType="separate"/>
      </w:r>
      <w:r>
        <w:t>2</w:t>
      </w:r>
      <w:r>
        <w:fldChar w:fldCharType="end"/>
      </w:r>
      <w:r>
        <w:fldChar w:fldCharType="end"/>
      </w:r>
    </w:p>
    <w:p>
      <w:pPr>
        <w:pStyle w:val="18"/>
        <w:tabs>
          <w:tab w:val="right" w:leader="dot" w:pos="8306"/>
        </w:tabs>
      </w:pPr>
      <w:r>
        <w:fldChar w:fldCharType="begin"/>
      </w:r>
      <w:r>
        <w:instrText xml:space="preserve"> HYPERLINK \l "_Toc7979" </w:instrText>
      </w:r>
      <w:r>
        <w:fldChar w:fldCharType="separate"/>
      </w:r>
      <w:r>
        <w:rPr>
          <w:rFonts w:ascii="宋体" w:hAnsi="宋体" w:cs="宋体"/>
          <w:szCs w:val="28"/>
        </w:rPr>
        <w:t xml:space="preserve">1.3.1 </w:t>
      </w:r>
      <w:r>
        <w:rPr>
          <w:rFonts w:hint="eastAsia" w:ascii="宋体" w:hAnsi="宋体"/>
          <w:szCs w:val="28"/>
        </w:rPr>
        <w:t>服务响应</w:t>
      </w:r>
      <w:r>
        <w:tab/>
      </w:r>
      <w:r>
        <w:fldChar w:fldCharType="begin"/>
      </w:r>
      <w:r>
        <w:instrText xml:space="preserve"> PAGEREF _Toc7979 \h </w:instrText>
      </w:r>
      <w:r>
        <w:fldChar w:fldCharType="separate"/>
      </w:r>
      <w:r>
        <w:t>3</w:t>
      </w:r>
      <w:r>
        <w:fldChar w:fldCharType="end"/>
      </w:r>
      <w:r>
        <w:fldChar w:fldCharType="end"/>
      </w:r>
    </w:p>
    <w:p>
      <w:pPr>
        <w:pStyle w:val="18"/>
        <w:tabs>
          <w:tab w:val="right" w:leader="dot" w:pos="8306"/>
        </w:tabs>
      </w:pPr>
      <w:r>
        <w:fldChar w:fldCharType="begin"/>
      </w:r>
      <w:r>
        <w:instrText xml:space="preserve"> HYPERLINK \l "_Toc22548" </w:instrText>
      </w:r>
      <w:r>
        <w:fldChar w:fldCharType="separate"/>
      </w:r>
      <w:r>
        <w:rPr>
          <w:rFonts w:ascii="宋体" w:hAnsi="宋体" w:cs="宋体"/>
          <w:szCs w:val="28"/>
        </w:rPr>
        <w:t xml:space="preserve">1.3.2 </w:t>
      </w:r>
      <w:r>
        <w:rPr>
          <w:rFonts w:hint="eastAsia" w:ascii="宋体" w:hAnsi="宋体"/>
          <w:szCs w:val="28"/>
        </w:rPr>
        <w:t>监控系统服务内容</w:t>
      </w:r>
      <w:r>
        <w:tab/>
      </w:r>
      <w:r>
        <w:fldChar w:fldCharType="begin"/>
      </w:r>
      <w:r>
        <w:instrText xml:space="preserve"> PAGEREF _Toc22548 \h </w:instrText>
      </w:r>
      <w:r>
        <w:fldChar w:fldCharType="separate"/>
      </w:r>
      <w:r>
        <w:t>4</w:t>
      </w:r>
      <w:r>
        <w:fldChar w:fldCharType="end"/>
      </w:r>
      <w:r>
        <w:fldChar w:fldCharType="end"/>
      </w:r>
    </w:p>
    <w:p>
      <w:pPr>
        <w:pStyle w:val="18"/>
        <w:tabs>
          <w:tab w:val="right" w:leader="dot" w:pos="8306"/>
        </w:tabs>
      </w:pPr>
      <w:r>
        <w:fldChar w:fldCharType="begin"/>
      </w:r>
      <w:r>
        <w:instrText xml:space="preserve"> HYPERLINK \l "_Toc9837" </w:instrText>
      </w:r>
      <w:r>
        <w:fldChar w:fldCharType="separate"/>
      </w:r>
      <w:r>
        <w:rPr>
          <w:rFonts w:ascii="宋体" w:hAnsi="宋体" w:cs="宋体"/>
          <w:szCs w:val="28"/>
        </w:rPr>
        <w:t xml:space="preserve">1.3.3 </w:t>
      </w:r>
      <w:r>
        <w:rPr>
          <w:rFonts w:hint="eastAsia" w:ascii="宋体" w:hAnsi="宋体"/>
          <w:szCs w:val="28"/>
        </w:rPr>
        <w:t>综合布线系统服务内容</w:t>
      </w:r>
      <w:r>
        <w:tab/>
      </w:r>
      <w:r>
        <w:fldChar w:fldCharType="begin"/>
      </w:r>
      <w:r>
        <w:instrText xml:space="preserve"> PAGEREF _Toc9837 \h </w:instrText>
      </w:r>
      <w:r>
        <w:fldChar w:fldCharType="separate"/>
      </w:r>
      <w:r>
        <w:t>6</w:t>
      </w:r>
      <w:r>
        <w:fldChar w:fldCharType="end"/>
      </w:r>
      <w:r>
        <w:fldChar w:fldCharType="end"/>
      </w:r>
    </w:p>
    <w:p>
      <w:pPr>
        <w:pStyle w:val="18"/>
        <w:tabs>
          <w:tab w:val="right" w:leader="dot" w:pos="8306"/>
        </w:tabs>
      </w:pPr>
      <w:r>
        <w:fldChar w:fldCharType="begin"/>
      </w:r>
      <w:r>
        <w:instrText xml:space="preserve"> HYPERLINK \l "_Toc30938" </w:instrText>
      </w:r>
      <w:r>
        <w:fldChar w:fldCharType="separate"/>
      </w:r>
      <w:r>
        <w:rPr>
          <w:rFonts w:ascii="宋体" w:hAnsi="宋体" w:cs="宋体"/>
          <w:szCs w:val="28"/>
        </w:rPr>
        <w:t xml:space="preserve">1.3.4 </w:t>
      </w:r>
      <w:r>
        <w:rPr>
          <w:rFonts w:hint="eastAsia" w:ascii="宋体" w:hAnsi="宋体"/>
          <w:szCs w:val="28"/>
        </w:rPr>
        <w:t>消控室相关服务内容</w:t>
      </w:r>
      <w:r>
        <w:tab/>
      </w:r>
      <w:r>
        <w:fldChar w:fldCharType="begin"/>
      </w:r>
      <w:r>
        <w:instrText xml:space="preserve"> PAGEREF _Toc30938 \h </w:instrText>
      </w:r>
      <w:r>
        <w:fldChar w:fldCharType="separate"/>
      </w:r>
      <w:r>
        <w:t>6</w:t>
      </w:r>
      <w:r>
        <w:fldChar w:fldCharType="end"/>
      </w:r>
      <w:r>
        <w:fldChar w:fldCharType="end"/>
      </w:r>
    </w:p>
    <w:p>
      <w:pPr>
        <w:pStyle w:val="18"/>
        <w:tabs>
          <w:tab w:val="right" w:leader="dot" w:pos="8306"/>
        </w:tabs>
      </w:pPr>
      <w:r>
        <w:fldChar w:fldCharType="begin"/>
      </w:r>
      <w:r>
        <w:instrText xml:space="preserve"> HYPERLINK \l "_Toc3864" </w:instrText>
      </w:r>
      <w:r>
        <w:fldChar w:fldCharType="separate"/>
      </w:r>
      <w:r>
        <w:rPr>
          <w:rFonts w:ascii="宋体" w:hAnsi="宋体" w:cs="宋体"/>
          <w:szCs w:val="28"/>
        </w:rPr>
        <w:t xml:space="preserve">1.3.5 </w:t>
      </w:r>
      <w:r>
        <w:rPr>
          <w:rFonts w:hint="eastAsia" w:ascii="宋体" w:hAnsi="宋体"/>
          <w:szCs w:val="28"/>
        </w:rPr>
        <w:t>其他弱电系统服务内容</w:t>
      </w:r>
      <w:r>
        <w:tab/>
      </w:r>
      <w:r>
        <w:fldChar w:fldCharType="begin"/>
      </w:r>
      <w:r>
        <w:instrText xml:space="preserve"> PAGEREF _Toc3864 \h </w:instrText>
      </w:r>
      <w:r>
        <w:fldChar w:fldCharType="separate"/>
      </w:r>
      <w:r>
        <w:t>9</w:t>
      </w:r>
      <w:r>
        <w:fldChar w:fldCharType="end"/>
      </w:r>
      <w:r>
        <w:fldChar w:fldCharType="end"/>
      </w:r>
    </w:p>
    <w:p>
      <w:pPr>
        <w:pStyle w:val="26"/>
        <w:tabs>
          <w:tab w:val="right" w:leader="dot" w:pos="8306"/>
        </w:tabs>
      </w:pPr>
      <w:r>
        <w:fldChar w:fldCharType="begin"/>
      </w:r>
      <w:r>
        <w:instrText xml:space="preserve"> HYPERLINK \l "_Toc4604" </w:instrText>
      </w:r>
      <w:r>
        <w:fldChar w:fldCharType="separate"/>
      </w:r>
      <w:r>
        <w:rPr>
          <w:rFonts w:hint="eastAsia" w:ascii="宋体" w:hAnsi="宋体"/>
          <w:szCs w:val="30"/>
        </w:rPr>
        <w:t>1.4 UPS系统维护服务要求</w:t>
      </w:r>
      <w:r>
        <w:tab/>
      </w:r>
      <w:r>
        <w:fldChar w:fldCharType="begin"/>
      </w:r>
      <w:r>
        <w:instrText xml:space="preserve"> PAGEREF _Toc4604 \h </w:instrText>
      </w:r>
      <w:r>
        <w:fldChar w:fldCharType="separate"/>
      </w:r>
      <w:r>
        <w:t>10</w:t>
      </w:r>
      <w:r>
        <w:fldChar w:fldCharType="end"/>
      </w:r>
      <w:r>
        <w:fldChar w:fldCharType="end"/>
      </w:r>
    </w:p>
    <w:p>
      <w:pPr>
        <w:pStyle w:val="18"/>
        <w:tabs>
          <w:tab w:val="right" w:leader="dot" w:pos="8306"/>
        </w:tabs>
      </w:pPr>
      <w:r>
        <w:fldChar w:fldCharType="begin"/>
      </w:r>
      <w:r>
        <w:instrText xml:space="preserve"> HYPERLINK \l "_Toc11749" </w:instrText>
      </w:r>
      <w:r>
        <w:fldChar w:fldCharType="separate"/>
      </w:r>
      <w:r>
        <w:rPr>
          <w:rFonts w:ascii="宋体" w:hAnsi="宋体" w:cs="宋体"/>
          <w:szCs w:val="28"/>
        </w:rPr>
        <w:t xml:space="preserve">1.4.1 </w:t>
      </w:r>
      <w:r>
        <w:rPr>
          <w:rFonts w:hint="eastAsia" w:ascii="宋体" w:hAnsi="宋体"/>
          <w:szCs w:val="28"/>
        </w:rPr>
        <w:t>服务目的</w:t>
      </w:r>
      <w:r>
        <w:tab/>
      </w:r>
      <w:r>
        <w:fldChar w:fldCharType="begin"/>
      </w:r>
      <w:r>
        <w:instrText xml:space="preserve"> PAGEREF _Toc11749 \h </w:instrText>
      </w:r>
      <w:r>
        <w:fldChar w:fldCharType="separate"/>
      </w:r>
      <w:r>
        <w:t>10</w:t>
      </w:r>
      <w:r>
        <w:fldChar w:fldCharType="end"/>
      </w:r>
      <w:r>
        <w:fldChar w:fldCharType="end"/>
      </w:r>
    </w:p>
    <w:p>
      <w:pPr>
        <w:pStyle w:val="18"/>
        <w:tabs>
          <w:tab w:val="right" w:leader="dot" w:pos="8306"/>
        </w:tabs>
      </w:pPr>
      <w:r>
        <w:fldChar w:fldCharType="begin"/>
      </w:r>
      <w:r>
        <w:instrText xml:space="preserve"> HYPERLINK \l "_Toc19486" </w:instrText>
      </w:r>
      <w:r>
        <w:fldChar w:fldCharType="separate"/>
      </w:r>
      <w:r>
        <w:rPr>
          <w:rFonts w:ascii="宋体" w:hAnsi="宋体" w:cs="宋体"/>
          <w:szCs w:val="28"/>
        </w:rPr>
        <w:t xml:space="preserve">1.4.2 </w:t>
      </w:r>
      <w:r>
        <w:rPr>
          <w:rFonts w:hint="eastAsia" w:ascii="宋体" w:hAnsi="宋体"/>
          <w:szCs w:val="28"/>
        </w:rPr>
        <w:t>服务范围</w:t>
      </w:r>
      <w:r>
        <w:tab/>
      </w:r>
      <w:r>
        <w:fldChar w:fldCharType="begin"/>
      </w:r>
      <w:r>
        <w:instrText xml:space="preserve"> PAGEREF _Toc19486 \h </w:instrText>
      </w:r>
      <w:r>
        <w:fldChar w:fldCharType="separate"/>
      </w:r>
      <w:r>
        <w:t>10</w:t>
      </w:r>
      <w:r>
        <w:fldChar w:fldCharType="end"/>
      </w:r>
      <w:r>
        <w:fldChar w:fldCharType="end"/>
      </w:r>
    </w:p>
    <w:p>
      <w:pPr>
        <w:pStyle w:val="26"/>
        <w:tabs>
          <w:tab w:val="right" w:leader="dot" w:pos="8306"/>
        </w:tabs>
      </w:pPr>
      <w:r>
        <w:fldChar w:fldCharType="begin"/>
      </w:r>
      <w:r>
        <w:instrText xml:space="preserve"> HYPERLINK \l "_Toc15495" </w:instrText>
      </w:r>
      <w:r>
        <w:fldChar w:fldCharType="separate"/>
      </w:r>
      <w:r>
        <w:rPr>
          <w:rFonts w:hint="eastAsia" w:ascii="宋体" w:hAnsi="宋体"/>
          <w:szCs w:val="30"/>
        </w:rPr>
        <w:t>1.5 EPS系统维护服务方案</w:t>
      </w:r>
      <w:r>
        <w:tab/>
      </w:r>
      <w:r>
        <w:fldChar w:fldCharType="begin"/>
      </w:r>
      <w:r>
        <w:instrText xml:space="preserve"> PAGEREF _Toc15495 \h </w:instrText>
      </w:r>
      <w:r>
        <w:fldChar w:fldCharType="separate"/>
      </w:r>
      <w:r>
        <w:t>13</w:t>
      </w:r>
      <w:r>
        <w:fldChar w:fldCharType="end"/>
      </w:r>
      <w:r>
        <w:fldChar w:fldCharType="end"/>
      </w:r>
    </w:p>
    <w:p>
      <w:pPr>
        <w:pStyle w:val="18"/>
        <w:tabs>
          <w:tab w:val="right" w:leader="dot" w:pos="8306"/>
        </w:tabs>
      </w:pPr>
      <w:r>
        <w:fldChar w:fldCharType="begin"/>
      </w:r>
      <w:r>
        <w:instrText xml:space="preserve"> HYPERLINK \l "_Toc26430" </w:instrText>
      </w:r>
      <w:r>
        <w:fldChar w:fldCharType="separate"/>
      </w:r>
      <w:r>
        <w:rPr>
          <w:rFonts w:ascii="宋体" w:hAnsi="宋体" w:cs="宋体"/>
          <w:szCs w:val="36"/>
        </w:rPr>
        <w:t xml:space="preserve">1.5.1 </w:t>
      </w:r>
      <w:r>
        <w:rPr>
          <w:rFonts w:hint="eastAsia" w:ascii="宋体" w:hAnsi="宋体"/>
          <w:szCs w:val="36"/>
        </w:rPr>
        <w:t>服务目的</w:t>
      </w:r>
      <w:r>
        <w:tab/>
      </w:r>
      <w:r>
        <w:fldChar w:fldCharType="begin"/>
      </w:r>
      <w:r>
        <w:instrText xml:space="preserve"> PAGEREF _Toc26430 \h </w:instrText>
      </w:r>
      <w:r>
        <w:fldChar w:fldCharType="separate"/>
      </w:r>
      <w:r>
        <w:t>13</w:t>
      </w:r>
      <w:r>
        <w:fldChar w:fldCharType="end"/>
      </w:r>
      <w:r>
        <w:fldChar w:fldCharType="end"/>
      </w:r>
    </w:p>
    <w:p>
      <w:pPr>
        <w:pStyle w:val="18"/>
        <w:tabs>
          <w:tab w:val="right" w:leader="dot" w:pos="8306"/>
        </w:tabs>
      </w:pPr>
      <w:r>
        <w:fldChar w:fldCharType="begin"/>
      </w:r>
      <w:r>
        <w:instrText xml:space="preserve"> HYPERLINK \l "_Toc7098" </w:instrText>
      </w:r>
      <w:r>
        <w:fldChar w:fldCharType="separate"/>
      </w:r>
      <w:r>
        <w:rPr>
          <w:rFonts w:ascii="宋体" w:hAnsi="宋体" w:cs="宋体"/>
          <w:szCs w:val="36"/>
        </w:rPr>
        <w:t xml:space="preserve">1.5.2 </w:t>
      </w:r>
      <w:r>
        <w:rPr>
          <w:rFonts w:hint="eastAsia" w:ascii="宋体" w:hAnsi="宋体"/>
          <w:szCs w:val="36"/>
        </w:rPr>
        <w:t>服务范围</w:t>
      </w:r>
      <w:r>
        <w:tab/>
      </w:r>
      <w:r>
        <w:fldChar w:fldCharType="begin"/>
      </w:r>
      <w:r>
        <w:instrText xml:space="preserve"> PAGEREF _Toc7098 \h </w:instrText>
      </w:r>
      <w:r>
        <w:fldChar w:fldCharType="separate"/>
      </w:r>
      <w:r>
        <w:t>14</w:t>
      </w:r>
      <w:r>
        <w:fldChar w:fldCharType="end"/>
      </w:r>
      <w:r>
        <w:fldChar w:fldCharType="end"/>
      </w:r>
    </w:p>
    <w:p>
      <w:pPr>
        <w:pStyle w:val="23"/>
        <w:tabs>
          <w:tab w:val="right" w:leader="dot" w:pos="8306"/>
        </w:tabs>
      </w:pPr>
      <w:r>
        <w:fldChar w:fldCharType="begin"/>
      </w:r>
      <w:r>
        <w:instrText xml:space="preserve"> HYPERLINK \l "_Toc9998" </w:instrText>
      </w:r>
      <w:r>
        <w:fldChar w:fldCharType="separate"/>
      </w:r>
      <w:r>
        <w:rPr>
          <w:rFonts w:hint="eastAsia" w:ascii="宋体" w:hAnsi="宋体"/>
          <w:szCs w:val="36"/>
        </w:rPr>
        <w:t>第二章 智能化维护范围及设备清单</w:t>
      </w:r>
      <w:r>
        <w:tab/>
      </w:r>
      <w:r>
        <w:fldChar w:fldCharType="begin"/>
      </w:r>
      <w:r>
        <w:instrText xml:space="preserve"> PAGEREF _Toc9998 \h </w:instrText>
      </w:r>
      <w:r>
        <w:fldChar w:fldCharType="separate"/>
      </w:r>
      <w:r>
        <w:t>16</w:t>
      </w:r>
      <w:r>
        <w:fldChar w:fldCharType="end"/>
      </w:r>
      <w:r>
        <w:fldChar w:fldCharType="end"/>
      </w:r>
    </w:p>
    <w:p>
      <w:pPr>
        <w:pStyle w:val="23"/>
        <w:tabs>
          <w:tab w:val="right" w:leader="dot" w:pos="8306"/>
        </w:tabs>
      </w:pPr>
      <w:r>
        <w:fldChar w:fldCharType="begin"/>
      </w:r>
      <w:r>
        <w:instrText xml:space="preserve"> HYPERLINK \l "_Toc30372" </w:instrText>
      </w:r>
      <w:r>
        <w:fldChar w:fldCharType="separate"/>
      </w:r>
      <w:r>
        <w:rPr>
          <w:rFonts w:hint="eastAsia" w:ascii="宋体" w:hAnsi="宋体" w:cs="Times New Roman"/>
          <w:szCs w:val="36"/>
        </w:rPr>
        <w:t>第三章 投标人须知</w:t>
      </w:r>
      <w:r>
        <w:tab/>
      </w:r>
      <w:r>
        <w:fldChar w:fldCharType="begin"/>
      </w:r>
      <w:r>
        <w:instrText xml:space="preserve"> PAGEREF _Toc30372 \h </w:instrText>
      </w:r>
      <w:r>
        <w:fldChar w:fldCharType="separate"/>
      </w:r>
      <w:r>
        <w:t>18</w:t>
      </w:r>
      <w:r>
        <w:fldChar w:fldCharType="end"/>
      </w:r>
      <w:r>
        <w:fldChar w:fldCharType="end"/>
      </w:r>
    </w:p>
    <w:p>
      <w:pPr>
        <w:rPr>
          <w:rFonts w:ascii="宋体" w:hAnsi="宋体"/>
          <w:b/>
          <w:bCs/>
          <w:caps/>
          <w:sz w:val="20"/>
          <w:szCs w:val="20"/>
        </w:rPr>
      </w:pPr>
      <w:r>
        <w:rPr>
          <w:rFonts w:ascii="宋体" w:hAnsi="宋体"/>
          <w:bCs/>
          <w:caps/>
          <w:szCs w:val="20"/>
        </w:rPr>
        <w:fldChar w:fldCharType="end"/>
      </w: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b/>
          <w:bCs/>
          <w:caps/>
          <w:sz w:val="20"/>
          <w:szCs w:val="20"/>
        </w:rPr>
      </w:pPr>
    </w:p>
    <w:p>
      <w:pPr>
        <w:rPr>
          <w:rFonts w:ascii="宋体" w:hAnsi="宋体"/>
        </w:rPr>
      </w:pPr>
    </w:p>
    <w:p>
      <w:pPr>
        <w:pStyle w:val="2"/>
        <w:rPr>
          <w:rFonts w:ascii="宋体" w:hAnsi="宋体"/>
        </w:rPr>
      </w:pPr>
    </w:p>
    <w:p>
      <w:pPr>
        <w:pStyle w:val="3"/>
        <w:ind w:firstLine="210"/>
        <w:rPr>
          <w:rFonts w:ascii="宋体" w:hAnsi="宋体"/>
        </w:rPr>
      </w:pPr>
    </w:p>
    <w:p>
      <w:pPr>
        <w:pStyle w:val="3"/>
        <w:ind w:firstLine="210"/>
        <w:rPr>
          <w:rFonts w:ascii="宋体" w:hAnsi="宋体"/>
        </w:rPr>
      </w:pPr>
    </w:p>
    <w:p>
      <w:pPr>
        <w:pStyle w:val="4"/>
        <w:tabs>
          <w:tab w:val="left" w:pos="3600"/>
        </w:tabs>
        <w:ind w:left="0"/>
        <w:jc w:val="center"/>
        <w:rPr>
          <w:rFonts w:ascii="宋体" w:hAnsi="宋体"/>
          <w:szCs w:val="36"/>
        </w:rPr>
      </w:pPr>
      <w:r>
        <w:rPr>
          <w:rFonts w:hint="eastAsia" w:ascii="宋体" w:hAnsi="宋体"/>
          <w:szCs w:val="36"/>
        </w:rPr>
        <w:t xml:space="preserve"> </w:t>
      </w:r>
      <w:bookmarkStart w:id="1" w:name="_Toc11791"/>
      <w:r>
        <w:rPr>
          <w:rFonts w:hint="eastAsia" w:ascii="宋体" w:hAnsi="宋体"/>
          <w:szCs w:val="36"/>
        </w:rPr>
        <w:t>招标需求</w:t>
      </w:r>
      <w:bookmarkEnd w:id="1"/>
    </w:p>
    <w:p>
      <w:pPr>
        <w:numPr>
          <w:ilvl w:val="1"/>
          <w:numId w:val="1"/>
        </w:numPr>
        <w:spacing w:line="720" w:lineRule="auto"/>
        <w:outlineLvl w:val="1"/>
        <w:rPr>
          <w:rFonts w:ascii="宋体" w:hAnsi="宋体"/>
          <w:sz w:val="30"/>
          <w:szCs w:val="30"/>
        </w:rPr>
      </w:pPr>
      <w:bookmarkStart w:id="2" w:name="_Toc70082160"/>
      <w:bookmarkStart w:id="3" w:name="_Toc263683969"/>
      <w:bookmarkStart w:id="4" w:name="_Toc13702"/>
      <w:r>
        <w:rPr>
          <w:rFonts w:hint="eastAsia" w:ascii="宋体" w:hAnsi="宋体"/>
          <w:sz w:val="30"/>
          <w:szCs w:val="30"/>
        </w:rPr>
        <w:t>智能化维护项目概述</w:t>
      </w:r>
      <w:bookmarkEnd w:id="2"/>
      <w:bookmarkEnd w:id="3"/>
      <w:bookmarkEnd w:id="4"/>
    </w:p>
    <w:p>
      <w:pPr>
        <w:spacing w:line="360" w:lineRule="auto"/>
        <w:ind w:firstLine="480" w:firstLineChars="200"/>
        <w:rPr>
          <w:rFonts w:ascii="宋体" w:hAnsi="宋体"/>
          <w:sz w:val="24"/>
        </w:rPr>
      </w:pPr>
      <w:r>
        <w:rPr>
          <w:rFonts w:hint="eastAsia" w:ascii="宋体" w:hAnsi="宋体"/>
          <w:sz w:val="24"/>
        </w:rPr>
        <w:t>为保障丽水市第二人民医院智能化弱电系统的正常运行；需要对其监控机房内的设备、UPS、EPS及全院的弱电系统进行硬件维护，并提供相应的系统培训与技术咨询；协助丽水市第二人民医院建立弱电系统应急预案，并进行演练和熟练掌握。</w:t>
      </w:r>
    </w:p>
    <w:p>
      <w:pPr>
        <w:numPr>
          <w:ilvl w:val="1"/>
          <w:numId w:val="1"/>
        </w:numPr>
        <w:spacing w:line="720" w:lineRule="auto"/>
        <w:outlineLvl w:val="1"/>
        <w:rPr>
          <w:rFonts w:ascii="宋体" w:hAnsi="宋体"/>
          <w:sz w:val="30"/>
          <w:szCs w:val="30"/>
        </w:rPr>
      </w:pPr>
      <w:bookmarkStart w:id="5" w:name="_Toc263683970"/>
      <w:bookmarkStart w:id="6" w:name="_Toc4476"/>
      <w:bookmarkStart w:id="7" w:name="_Toc70082161"/>
      <w:r>
        <w:rPr>
          <w:rFonts w:hint="eastAsia" w:ascii="宋体" w:hAnsi="宋体"/>
          <w:sz w:val="30"/>
          <w:szCs w:val="30"/>
        </w:rPr>
        <w:t>系统维护的范围</w:t>
      </w:r>
      <w:bookmarkEnd w:id="5"/>
      <w:bookmarkEnd w:id="6"/>
      <w:bookmarkEnd w:id="7"/>
    </w:p>
    <w:p>
      <w:pPr>
        <w:spacing w:line="360" w:lineRule="auto"/>
        <w:ind w:firstLine="480" w:firstLineChars="200"/>
        <w:rPr>
          <w:rFonts w:ascii="宋体"/>
          <w:sz w:val="24"/>
        </w:rPr>
      </w:pPr>
      <w:r>
        <w:rPr>
          <w:rFonts w:hint="eastAsia" w:ascii="宋体" w:hAnsi="宋体"/>
          <w:sz w:val="24"/>
        </w:rPr>
        <w:t>丽水市第二人民医院</w:t>
      </w:r>
      <w:r>
        <w:rPr>
          <w:rFonts w:hint="eastAsia" w:ascii="宋体"/>
          <w:sz w:val="24"/>
        </w:rPr>
        <w:t>的机房弱电设备（设备清单详见第二章节）硬件维护，主要是对上述设备的整机及应用模块进行坏件更换并提供快捷的系统故障响应支持服务。提供的技术支持服务包括招标范围内硬件系统等方面的故障诊断及排除。</w:t>
      </w:r>
    </w:p>
    <w:p>
      <w:pPr>
        <w:spacing w:line="360" w:lineRule="auto"/>
        <w:ind w:firstLine="480" w:firstLineChars="200"/>
        <w:rPr>
          <w:rFonts w:ascii="宋体"/>
          <w:sz w:val="24"/>
        </w:rPr>
      </w:pPr>
      <w:r>
        <w:rPr>
          <w:rFonts w:hint="eastAsia" w:ascii="宋体"/>
          <w:sz w:val="24"/>
        </w:rPr>
        <w:t>投标人提供人员技术支持服务，因服务所需的配件更换、线材等费用由院方自行购买。</w:t>
      </w:r>
    </w:p>
    <w:p>
      <w:pPr>
        <w:numPr>
          <w:ilvl w:val="1"/>
          <w:numId w:val="1"/>
        </w:numPr>
        <w:spacing w:line="720" w:lineRule="auto"/>
        <w:outlineLvl w:val="1"/>
        <w:rPr>
          <w:rFonts w:ascii="宋体" w:hAnsi="宋体"/>
          <w:sz w:val="30"/>
          <w:szCs w:val="30"/>
        </w:rPr>
      </w:pPr>
      <w:bookmarkStart w:id="8" w:name="_Toc263683971"/>
      <w:bookmarkStart w:id="9" w:name="_Toc70082162"/>
      <w:bookmarkStart w:id="10" w:name="_Toc18485"/>
      <w:r>
        <w:rPr>
          <w:rFonts w:hint="eastAsia" w:ascii="宋体" w:hAnsi="宋体"/>
          <w:sz w:val="30"/>
          <w:szCs w:val="30"/>
        </w:rPr>
        <w:t>硬件系统维护</w:t>
      </w:r>
      <w:bookmarkEnd w:id="8"/>
      <w:bookmarkEnd w:id="9"/>
      <w:r>
        <w:rPr>
          <w:rFonts w:hint="eastAsia" w:ascii="宋体" w:hAnsi="宋体"/>
          <w:sz w:val="30"/>
          <w:szCs w:val="30"/>
        </w:rPr>
        <w:t>内容和要求</w:t>
      </w:r>
      <w:bookmarkEnd w:id="10"/>
    </w:p>
    <w:p>
      <w:pPr>
        <w:spacing w:line="360" w:lineRule="auto"/>
        <w:ind w:firstLine="480" w:firstLineChars="200"/>
        <w:rPr>
          <w:rFonts w:ascii="宋体"/>
          <w:sz w:val="24"/>
        </w:rPr>
      </w:pPr>
      <w:r>
        <w:rPr>
          <w:rFonts w:hint="eastAsia" w:ascii="宋体"/>
          <w:sz w:val="24"/>
        </w:rPr>
        <w:t xml:space="preserve"> 服务时间： 一年</w:t>
      </w:r>
    </w:p>
    <w:p>
      <w:pPr>
        <w:spacing w:line="360" w:lineRule="auto"/>
        <w:ind w:firstLine="480" w:firstLineChars="200"/>
        <w:rPr>
          <w:rFonts w:ascii="宋体"/>
          <w:sz w:val="24"/>
        </w:rPr>
      </w:pPr>
      <w:r>
        <w:rPr>
          <w:rFonts w:hint="eastAsia" w:ascii="宋体"/>
          <w:sz w:val="24"/>
        </w:rPr>
        <w:t>备品备件保障</w:t>
      </w:r>
    </w:p>
    <w:p>
      <w:pPr>
        <w:spacing w:line="360" w:lineRule="auto"/>
        <w:ind w:firstLine="480" w:firstLineChars="200"/>
        <w:rPr>
          <w:rFonts w:ascii="宋体"/>
          <w:sz w:val="24"/>
        </w:rPr>
      </w:pPr>
      <w:r>
        <w:rPr>
          <w:rFonts w:hint="eastAsia" w:ascii="宋体"/>
          <w:sz w:val="24"/>
        </w:rPr>
        <w:t>投标人将根据服务范围中所涉及的设备做好备品备件工作，确保在第一时间保证丽水市第二人民医院的弱电系统能正常运行。</w:t>
      </w:r>
    </w:p>
    <w:p>
      <w:pPr>
        <w:spacing w:line="360" w:lineRule="auto"/>
        <w:ind w:firstLine="480" w:firstLineChars="200"/>
        <w:rPr>
          <w:rFonts w:ascii="宋体"/>
          <w:sz w:val="24"/>
        </w:rPr>
      </w:pPr>
      <w:r>
        <w:rPr>
          <w:rFonts w:hint="eastAsia" w:ascii="宋体"/>
          <w:sz w:val="24"/>
        </w:rPr>
        <w:t>（1）数量</w:t>
      </w:r>
    </w:p>
    <w:p>
      <w:pPr>
        <w:spacing w:line="360" w:lineRule="auto"/>
        <w:ind w:firstLine="480" w:firstLineChars="200"/>
        <w:rPr>
          <w:rFonts w:ascii="宋体"/>
          <w:sz w:val="24"/>
        </w:rPr>
      </w:pPr>
      <w:r>
        <w:rPr>
          <w:rFonts w:hint="eastAsia" w:ascii="宋体"/>
          <w:sz w:val="24"/>
        </w:rPr>
        <w:t>为项目中的常用设备设立不少于3%的备品备件库存。</w:t>
      </w:r>
    </w:p>
    <w:p>
      <w:pPr>
        <w:spacing w:line="360" w:lineRule="auto"/>
        <w:rPr>
          <w:rFonts w:ascii="宋体"/>
          <w:sz w:val="24"/>
        </w:rPr>
      </w:pPr>
      <w:r>
        <w:rPr>
          <w:rFonts w:hint="eastAsia" w:ascii="宋体"/>
          <w:sz w:val="24"/>
        </w:rPr>
        <w:t xml:space="preserve"> </w:t>
      </w:r>
    </w:p>
    <w:p>
      <w:pPr>
        <w:spacing w:line="360" w:lineRule="auto"/>
        <w:ind w:firstLine="480" w:firstLineChars="200"/>
        <w:rPr>
          <w:rFonts w:ascii="宋体"/>
          <w:sz w:val="24"/>
        </w:rPr>
      </w:pPr>
      <w:r>
        <w:rPr>
          <w:rFonts w:hint="eastAsia" w:ascii="宋体"/>
          <w:sz w:val="24"/>
        </w:rPr>
        <w:t xml:space="preserve"> 巡检服务</w:t>
      </w:r>
    </w:p>
    <w:p>
      <w:pPr>
        <w:spacing w:line="360" w:lineRule="auto"/>
        <w:ind w:firstLine="480" w:firstLineChars="200"/>
        <w:rPr>
          <w:rFonts w:ascii="宋体"/>
          <w:sz w:val="24"/>
        </w:rPr>
      </w:pPr>
      <w:r>
        <w:rPr>
          <w:rFonts w:hint="eastAsia" w:ascii="宋体"/>
          <w:sz w:val="24"/>
        </w:rPr>
        <w:t>投标人为丽水市第二人民医院提供月度维保、季度大维保。巡检内容包括全院各种弱电系统相关设备的检查，最新软件版本的提供及更新、技术信息通报、预防性方案的提交等。</w:t>
      </w:r>
    </w:p>
    <w:p>
      <w:pPr>
        <w:spacing w:line="360" w:lineRule="auto"/>
        <w:ind w:firstLine="480" w:firstLineChars="200"/>
        <w:rPr>
          <w:rFonts w:ascii="宋体"/>
          <w:sz w:val="24"/>
        </w:rPr>
      </w:pPr>
      <w:r>
        <w:rPr>
          <w:rFonts w:hint="eastAsia" w:ascii="宋体"/>
          <w:sz w:val="24"/>
        </w:rPr>
        <w:t>需要及时发现和维修医院现有弱电系统可能出现的硬件问题</w:t>
      </w:r>
      <w:r>
        <w:rPr>
          <w:rFonts w:ascii="宋体"/>
          <w:sz w:val="24"/>
        </w:rPr>
        <w:t xml:space="preserve">, </w:t>
      </w:r>
      <w:r>
        <w:rPr>
          <w:rFonts w:hint="eastAsia" w:ascii="宋体"/>
          <w:sz w:val="24"/>
        </w:rPr>
        <w:t>从而在最大程度上为设备的连续稳定运行提供保证</w:t>
      </w:r>
      <w:r>
        <w:rPr>
          <w:rFonts w:ascii="宋体"/>
          <w:sz w:val="24"/>
        </w:rPr>
        <w:t xml:space="preserve">, </w:t>
      </w:r>
      <w:r>
        <w:rPr>
          <w:rFonts w:hint="eastAsia" w:ascii="宋体"/>
          <w:sz w:val="24"/>
        </w:rPr>
        <w:t>维护内容主要包括：</w:t>
      </w:r>
    </w:p>
    <w:p>
      <w:pPr>
        <w:numPr>
          <w:ilvl w:val="0"/>
          <w:numId w:val="2"/>
        </w:numPr>
        <w:spacing w:line="360" w:lineRule="auto"/>
        <w:rPr>
          <w:rFonts w:ascii="宋体"/>
          <w:sz w:val="24"/>
        </w:rPr>
      </w:pPr>
      <w:r>
        <w:rPr>
          <w:rFonts w:hint="eastAsia" w:ascii="宋体"/>
          <w:sz w:val="24"/>
        </w:rPr>
        <w:t>系统检测运行诊断；</w:t>
      </w:r>
    </w:p>
    <w:p>
      <w:pPr>
        <w:numPr>
          <w:ilvl w:val="0"/>
          <w:numId w:val="2"/>
        </w:numPr>
        <w:spacing w:line="360" w:lineRule="auto"/>
        <w:rPr>
          <w:rFonts w:ascii="宋体"/>
          <w:sz w:val="24"/>
        </w:rPr>
      </w:pPr>
      <w:r>
        <w:rPr>
          <w:rFonts w:hint="eastAsia" w:ascii="宋体"/>
          <w:sz w:val="24"/>
        </w:rPr>
        <w:t>检查设备硬件（包括路由引擎、电源、模块等）及设备运行状况（路由引擎CPU使用率、内存使用状态和端口状态）、UPS主机电源板等；</w:t>
      </w:r>
    </w:p>
    <w:p>
      <w:pPr>
        <w:numPr>
          <w:ilvl w:val="0"/>
          <w:numId w:val="2"/>
        </w:numPr>
        <w:spacing w:line="360" w:lineRule="auto"/>
        <w:rPr>
          <w:rFonts w:ascii="宋体"/>
          <w:sz w:val="24"/>
        </w:rPr>
      </w:pPr>
      <w:r>
        <w:rPr>
          <w:rFonts w:hint="eastAsia" w:ascii="宋体"/>
          <w:sz w:val="24"/>
        </w:rPr>
        <w:t>检查弱电设备配置存在的问题（包括路由协议、路由表及访问控制列表）；</w:t>
      </w:r>
    </w:p>
    <w:p>
      <w:pPr>
        <w:numPr>
          <w:ilvl w:val="0"/>
          <w:numId w:val="2"/>
        </w:numPr>
        <w:spacing w:line="360" w:lineRule="auto"/>
        <w:rPr>
          <w:rFonts w:ascii="宋体"/>
          <w:sz w:val="24"/>
        </w:rPr>
      </w:pPr>
      <w:r>
        <w:rPr>
          <w:rFonts w:hint="eastAsia" w:ascii="宋体"/>
          <w:sz w:val="24"/>
        </w:rPr>
        <w:t>检查系统日志信息，观察系统运行异常情况；</w:t>
      </w:r>
    </w:p>
    <w:p>
      <w:pPr>
        <w:numPr>
          <w:ilvl w:val="0"/>
          <w:numId w:val="2"/>
        </w:numPr>
        <w:spacing w:line="360" w:lineRule="auto"/>
        <w:rPr>
          <w:rFonts w:ascii="宋体"/>
          <w:sz w:val="24"/>
        </w:rPr>
      </w:pPr>
      <w:r>
        <w:rPr>
          <w:rFonts w:hint="eastAsia" w:ascii="宋体"/>
          <w:sz w:val="24"/>
        </w:rPr>
        <w:t>协助</w:t>
      </w:r>
      <w:r>
        <w:rPr>
          <w:rFonts w:hint="eastAsia" w:ascii="宋体" w:hAnsi="宋体"/>
          <w:sz w:val="24"/>
        </w:rPr>
        <w:t>丽水市第二人民医院</w:t>
      </w:r>
      <w:r>
        <w:rPr>
          <w:rFonts w:hint="eastAsia" w:ascii="宋体"/>
          <w:sz w:val="24"/>
        </w:rPr>
        <w:t>的技术人员解决和分析日常设备运行中出现的未解决问题；</w:t>
      </w:r>
      <w:r>
        <w:rPr>
          <w:rFonts w:ascii="宋体"/>
          <w:sz w:val="24"/>
        </w:rPr>
        <w:t xml:space="preserve"> </w:t>
      </w:r>
    </w:p>
    <w:p>
      <w:pPr>
        <w:numPr>
          <w:ilvl w:val="0"/>
          <w:numId w:val="2"/>
        </w:numPr>
        <w:spacing w:line="360" w:lineRule="auto"/>
        <w:rPr>
          <w:rFonts w:ascii="宋体"/>
          <w:sz w:val="24"/>
        </w:rPr>
      </w:pPr>
      <w:r>
        <w:rPr>
          <w:rFonts w:hint="eastAsia" w:ascii="宋体"/>
          <w:sz w:val="24"/>
        </w:rPr>
        <w:t>提供现有硬件系统的安装等服务。</w:t>
      </w:r>
    </w:p>
    <w:p>
      <w:pPr>
        <w:numPr>
          <w:ilvl w:val="0"/>
          <w:numId w:val="2"/>
        </w:numPr>
        <w:spacing w:line="360" w:lineRule="auto"/>
        <w:rPr>
          <w:rFonts w:ascii="宋体"/>
          <w:sz w:val="24"/>
        </w:rPr>
      </w:pPr>
      <w:r>
        <w:rPr>
          <w:rFonts w:hint="eastAsia" w:ascii="宋体"/>
          <w:sz w:val="24"/>
        </w:rPr>
        <w:t>对设备故障部件提供免费维护，对所需要更换的配件并保证所提供设备为原厂生产，经过严格测试性能和质量符合标准要求。</w:t>
      </w:r>
    </w:p>
    <w:p>
      <w:pPr>
        <w:numPr>
          <w:ilvl w:val="0"/>
          <w:numId w:val="2"/>
        </w:numPr>
        <w:spacing w:line="360" w:lineRule="auto"/>
        <w:rPr>
          <w:rFonts w:ascii="宋体"/>
          <w:sz w:val="24"/>
        </w:rPr>
      </w:pPr>
      <w:r>
        <w:rPr>
          <w:rFonts w:hint="eastAsia" w:ascii="宋体"/>
          <w:sz w:val="24"/>
        </w:rPr>
        <w:t>服务方针对</w:t>
      </w:r>
      <w:r>
        <w:rPr>
          <w:rFonts w:hint="eastAsia" w:ascii="宋体" w:hAnsi="宋体"/>
          <w:sz w:val="24"/>
        </w:rPr>
        <w:t>丽水市第二人民医院服务</w:t>
      </w:r>
      <w:r>
        <w:rPr>
          <w:rFonts w:hint="eastAsia" w:ascii="宋体"/>
          <w:sz w:val="24"/>
        </w:rPr>
        <w:t>范围内弱电系统项目成立维护小组，由至少一名工程师负责组织和协调</w:t>
      </w:r>
      <w:r>
        <w:rPr>
          <w:rFonts w:hint="eastAsia" w:ascii="宋体" w:hAnsi="宋体"/>
          <w:sz w:val="24"/>
        </w:rPr>
        <w:t>丽水市第二人民医院服务</w:t>
      </w:r>
      <w:r>
        <w:rPr>
          <w:rFonts w:hint="eastAsia" w:ascii="宋体"/>
          <w:sz w:val="24"/>
        </w:rPr>
        <w:t>范围内弱电维护工作，保证在每周7×24小时内能全天候答复用户提问，提供月不少于一次的设备巡检，并提供巡检报告，对于</w:t>
      </w:r>
      <w:r>
        <w:rPr>
          <w:rFonts w:hint="eastAsia" w:ascii="宋体" w:hAnsi="宋体"/>
          <w:sz w:val="24"/>
        </w:rPr>
        <w:t>丽水市第二人民医院服务</w:t>
      </w:r>
      <w:r>
        <w:rPr>
          <w:rFonts w:hint="eastAsia" w:ascii="宋体"/>
          <w:sz w:val="24"/>
        </w:rPr>
        <w:t>范围内弱电设备发生的一切问题，该工程师都将负责安排有效的维护工作。</w:t>
      </w:r>
    </w:p>
    <w:p>
      <w:pPr>
        <w:numPr>
          <w:ilvl w:val="0"/>
          <w:numId w:val="2"/>
        </w:numPr>
        <w:spacing w:line="360" w:lineRule="auto"/>
        <w:rPr>
          <w:sz w:val="24"/>
        </w:rPr>
      </w:pPr>
      <w:r>
        <w:rPr>
          <w:rFonts w:hint="eastAsia" w:ascii="宋体"/>
          <w:sz w:val="24"/>
        </w:rPr>
        <w:t>设备故障致使设备不能正常运行，维护方接到</w:t>
      </w:r>
      <w:r>
        <w:rPr>
          <w:rFonts w:hint="eastAsia" w:ascii="宋体" w:hAnsi="宋体"/>
          <w:sz w:val="24"/>
        </w:rPr>
        <w:t>丽水市第二人民医院</w:t>
      </w:r>
      <w:r>
        <w:rPr>
          <w:rFonts w:hint="eastAsia" w:ascii="宋体"/>
          <w:sz w:val="24"/>
        </w:rPr>
        <w:t>通知后，在20分钟内到达现场，提供技术支持服务。需要更换设备或配件的，根据响应程度在1-2天内给予更换。</w:t>
      </w:r>
    </w:p>
    <w:p>
      <w:pPr>
        <w:pStyle w:val="6"/>
        <w:numPr>
          <w:ilvl w:val="0"/>
          <w:numId w:val="3"/>
        </w:numPr>
        <w:rPr>
          <w:rFonts w:ascii="宋体" w:hAnsi="宋体"/>
          <w:b w:val="0"/>
          <w:sz w:val="28"/>
          <w:szCs w:val="28"/>
        </w:rPr>
      </w:pPr>
      <w:bookmarkStart w:id="11" w:name="_Toc7979"/>
      <w:r>
        <w:rPr>
          <w:rFonts w:hint="eastAsia" w:ascii="宋体" w:hAnsi="宋体"/>
          <w:b w:val="0"/>
          <w:sz w:val="28"/>
          <w:szCs w:val="28"/>
        </w:rPr>
        <w:t>服务响应</w:t>
      </w:r>
      <w:bookmarkEnd w:id="11"/>
    </w:p>
    <w:p>
      <w:pPr>
        <w:pStyle w:val="3"/>
        <w:spacing w:line="360" w:lineRule="auto"/>
        <w:ind w:firstLine="600" w:firstLineChars="250"/>
        <w:rPr>
          <w:rFonts w:ascii="宋体" w:hAnsi="宋体"/>
          <w:sz w:val="24"/>
        </w:rPr>
      </w:pPr>
      <w:r>
        <w:rPr>
          <w:rFonts w:hint="eastAsia" w:ascii="宋体" w:hAnsi="宋体"/>
          <w:sz w:val="24"/>
        </w:rPr>
        <w:t>在服务期内，承诺为丽水市第二人民医院提供全面和及时的技术支持与服务，主要的服务响应时间如下：</w:t>
      </w:r>
    </w:p>
    <w:tbl>
      <w:tblPr>
        <w:tblStyle w:val="29"/>
        <w:tblW w:w="82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27"/>
        <w:gridCol w:w="3119"/>
        <w:gridCol w:w="3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Align w:val="center"/>
          </w:tcPr>
          <w:p>
            <w:pPr>
              <w:snapToGrid w:val="0"/>
              <w:spacing w:line="276" w:lineRule="auto"/>
              <w:rPr>
                <w:rFonts w:ascii="宋体" w:hAnsi="宋体"/>
                <w:bCs/>
                <w:szCs w:val="21"/>
              </w:rPr>
            </w:pPr>
            <w:r>
              <w:rPr>
                <w:rFonts w:hint="eastAsia" w:ascii="宋体" w:hAnsi="宋体"/>
                <w:bCs/>
                <w:szCs w:val="21"/>
              </w:rPr>
              <w:t>服务内容</w:t>
            </w:r>
          </w:p>
        </w:tc>
        <w:tc>
          <w:tcPr>
            <w:tcW w:w="3119" w:type="dxa"/>
            <w:vAlign w:val="center"/>
          </w:tcPr>
          <w:p>
            <w:pPr>
              <w:snapToGrid w:val="0"/>
              <w:spacing w:line="360" w:lineRule="auto"/>
              <w:ind w:firstLine="210" w:firstLineChars="100"/>
              <w:rPr>
                <w:rFonts w:ascii="宋体" w:hAnsi="宋体"/>
                <w:bCs/>
                <w:szCs w:val="21"/>
              </w:rPr>
            </w:pPr>
            <w:r>
              <w:rPr>
                <w:rFonts w:hint="eastAsia" w:ascii="宋体" w:hAnsi="宋体"/>
                <w:bCs/>
                <w:szCs w:val="21"/>
              </w:rPr>
              <w:t>服务项</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关键业务系统支持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Align w:val="center"/>
          </w:tcPr>
          <w:p>
            <w:pPr>
              <w:snapToGrid w:val="0"/>
              <w:spacing w:line="276" w:lineRule="auto"/>
              <w:rPr>
                <w:rFonts w:ascii="宋体" w:hAnsi="宋体"/>
                <w:bCs/>
                <w:szCs w:val="21"/>
              </w:rPr>
            </w:pPr>
            <w:r>
              <w:rPr>
                <w:rFonts w:hint="eastAsia" w:ascii="宋体" w:hAnsi="宋体"/>
                <w:bCs/>
                <w:szCs w:val="21"/>
              </w:rPr>
              <w:t>维护服务</w:t>
            </w:r>
          </w:p>
        </w:tc>
        <w:tc>
          <w:tcPr>
            <w:tcW w:w="3119" w:type="dxa"/>
            <w:vAlign w:val="center"/>
          </w:tcPr>
          <w:p>
            <w:pPr>
              <w:snapToGrid w:val="0"/>
              <w:spacing w:line="360" w:lineRule="auto"/>
              <w:rPr>
                <w:rFonts w:ascii="宋体" w:hAnsi="宋体"/>
                <w:bCs/>
                <w:szCs w:val="21"/>
              </w:rPr>
            </w:pPr>
            <w:r>
              <w:rPr>
                <w:rFonts w:hint="eastAsia" w:ascii="宋体" w:hAnsi="宋体"/>
                <w:bCs/>
                <w:szCs w:val="21"/>
              </w:rPr>
              <w:t>硬件设备维护</w:t>
            </w:r>
          </w:p>
        </w:tc>
        <w:tc>
          <w:tcPr>
            <w:tcW w:w="3951" w:type="dxa"/>
            <w:vAlign w:val="center"/>
          </w:tcPr>
          <w:p>
            <w:pPr>
              <w:snapToGrid w:val="0"/>
              <w:spacing w:line="276" w:lineRule="auto"/>
              <w:rPr>
                <w:rFonts w:ascii="宋体" w:hAnsi="宋体"/>
                <w:bCs/>
                <w:szCs w:val="21"/>
              </w:rPr>
            </w:pPr>
            <w:r>
              <w:rPr>
                <w:rFonts w:hint="eastAsia" w:ascii="宋体" w:hAnsi="宋体"/>
                <w:szCs w:val="21"/>
              </w:rPr>
              <w:t>及时协调并维修，将业务运行受影响程度减至最小。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restart"/>
            <w:vAlign w:val="center"/>
          </w:tcPr>
          <w:p>
            <w:pPr>
              <w:snapToGrid w:val="0"/>
              <w:spacing w:line="276" w:lineRule="auto"/>
              <w:rPr>
                <w:rFonts w:ascii="宋体" w:hAnsi="宋体"/>
                <w:bCs/>
                <w:szCs w:val="21"/>
              </w:rPr>
            </w:pPr>
            <w:r>
              <w:rPr>
                <w:rFonts w:hint="eastAsia" w:ascii="宋体" w:hAnsi="宋体"/>
                <w:bCs/>
                <w:szCs w:val="21"/>
              </w:rPr>
              <w:t>服务响应</w:t>
            </w:r>
          </w:p>
        </w:tc>
        <w:tc>
          <w:tcPr>
            <w:tcW w:w="3119" w:type="dxa"/>
            <w:vAlign w:val="center"/>
          </w:tcPr>
          <w:p>
            <w:pPr>
              <w:snapToGrid w:val="0"/>
              <w:spacing w:line="360" w:lineRule="auto"/>
              <w:rPr>
                <w:rFonts w:ascii="宋体" w:hAnsi="宋体"/>
                <w:bCs/>
                <w:szCs w:val="21"/>
              </w:rPr>
            </w:pPr>
            <w:r>
              <w:rPr>
                <w:rFonts w:hint="eastAsia" w:ascii="宋体" w:hAnsi="宋体"/>
                <w:bCs/>
                <w:szCs w:val="21"/>
              </w:rPr>
              <w:t>电话覆盖时间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7*24小时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电话响应时间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立即响应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能够到达现场的时间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7*24小时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重要时刻到达客户现场的紧急时间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20分钟内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问题诊断时间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30分钟内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从备件到达现场起更换备件时间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24小时内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从人员到达现场起系统恢复时间</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12小时内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szCs w:val="21"/>
              </w:rPr>
            </w:pPr>
          </w:p>
        </w:tc>
        <w:tc>
          <w:tcPr>
            <w:tcW w:w="3119" w:type="dxa"/>
            <w:vAlign w:val="center"/>
          </w:tcPr>
          <w:p>
            <w:pPr>
              <w:snapToGrid w:val="0"/>
              <w:spacing w:line="360" w:lineRule="auto"/>
              <w:rPr>
                <w:rFonts w:ascii="宋体" w:hAnsi="宋体"/>
                <w:bCs/>
                <w:szCs w:val="21"/>
              </w:rPr>
            </w:pPr>
            <w:r>
              <w:rPr>
                <w:rFonts w:hint="eastAsia" w:ascii="宋体" w:hAnsi="宋体"/>
                <w:szCs w:val="21"/>
              </w:rPr>
              <w:t>若不能在24小时内解决问题</w:t>
            </w:r>
          </w:p>
        </w:tc>
        <w:tc>
          <w:tcPr>
            <w:tcW w:w="3951" w:type="dxa"/>
            <w:vAlign w:val="center"/>
          </w:tcPr>
          <w:p>
            <w:pPr>
              <w:snapToGrid w:val="0"/>
              <w:spacing w:line="276" w:lineRule="auto"/>
              <w:rPr>
                <w:rFonts w:ascii="宋体" w:hAnsi="宋体"/>
                <w:bCs/>
                <w:szCs w:val="21"/>
              </w:rPr>
            </w:pPr>
            <w:r>
              <w:rPr>
                <w:rFonts w:hint="eastAsia" w:ascii="宋体" w:hAnsi="宋体"/>
                <w:szCs w:val="21"/>
              </w:rPr>
              <w:t>及时提供同等性能、同等配置的设备替换，所产生的硬件费用由用户承担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服务报告提交</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restart"/>
            <w:vAlign w:val="center"/>
          </w:tcPr>
          <w:p>
            <w:pPr>
              <w:snapToGrid w:val="0"/>
              <w:spacing w:line="276" w:lineRule="auto"/>
              <w:rPr>
                <w:rFonts w:ascii="宋体" w:hAnsi="宋体"/>
                <w:bCs/>
                <w:szCs w:val="21"/>
              </w:rPr>
            </w:pPr>
            <w:r>
              <w:rPr>
                <w:rFonts w:hint="eastAsia" w:ascii="宋体" w:hAnsi="宋体"/>
                <w:bCs/>
                <w:szCs w:val="21"/>
              </w:rPr>
              <w:t>定期巡检与预防性维护</w:t>
            </w:r>
          </w:p>
        </w:tc>
        <w:tc>
          <w:tcPr>
            <w:tcW w:w="3119" w:type="dxa"/>
            <w:vAlign w:val="center"/>
          </w:tcPr>
          <w:p>
            <w:pPr>
              <w:snapToGrid w:val="0"/>
              <w:spacing w:line="360" w:lineRule="auto"/>
              <w:rPr>
                <w:rFonts w:ascii="宋体" w:hAnsi="宋体"/>
                <w:bCs/>
                <w:szCs w:val="21"/>
              </w:rPr>
            </w:pPr>
            <w:r>
              <w:rPr>
                <w:rFonts w:hint="eastAsia" w:ascii="宋体" w:hAnsi="宋体"/>
                <w:bCs/>
                <w:szCs w:val="21"/>
              </w:rPr>
              <w:t>系统定期巡检维护</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每月一次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系统检查及服务报告</w:t>
            </w:r>
          </w:p>
        </w:tc>
        <w:tc>
          <w:tcPr>
            <w:tcW w:w="3951" w:type="dxa"/>
            <w:vAlign w:val="center"/>
          </w:tcPr>
          <w:p>
            <w:pPr>
              <w:spacing w:line="276" w:lineRule="auto"/>
              <w:rPr>
                <w:szCs w:val="21"/>
              </w:rPr>
            </w:pPr>
            <w:r>
              <w:rPr>
                <w:rFonts w:hint="eastAsia" w:ascii="宋体" w:hAnsi="宋体"/>
                <w:bCs/>
                <w:szCs w:val="21"/>
              </w:rPr>
              <w:t xml:space="preserve">  提供服务报告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restart"/>
            <w:vAlign w:val="center"/>
          </w:tcPr>
          <w:p>
            <w:pPr>
              <w:snapToGrid w:val="0"/>
              <w:spacing w:line="276" w:lineRule="auto"/>
              <w:rPr>
                <w:rFonts w:ascii="宋体" w:hAnsi="宋体"/>
                <w:bCs/>
                <w:szCs w:val="21"/>
              </w:rPr>
            </w:pPr>
            <w:r>
              <w:rPr>
                <w:rFonts w:hint="eastAsia" w:ascii="宋体" w:hAnsi="宋体"/>
                <w:bCs/>
                <w:szCs w:val="21"/>
              </w:rPr>
              <w:t>备件保证</w:t>
            </w:r>
          </w:p>
        </w:tc>
        <w:tc>
          <w:tcPr>
            <w:tcW w:w="3119" w:type="dxa"/>
            <w:vAlign w:val="center"/>
          </w:tcPr>
          <w:p>
            <w:pPr>
              <w:snapToGrid w:val="0"/>
              <w:spacing w:line="360" w:lineRule="auto"/>
              <w:rPr>
                <w:rFonts w:ascii="宋体" w:hAnsi="宋体"/>
                <w:bCs/>
                <w:szCs w:val="21"/>
              </w:rPr>
            </w:pPr>
            <w:r>
              <w:rPr>
                <w:rFonts w:hint="eastAsia" w:ascii="宋体" w:hAnsi="宋体"/>
                <w:bCs/>
                <w:szCs w:val="21"/>
              </w:rPr>
              <w:t>备件库</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三级备件库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备件更换</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现场更换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更换备件时限</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restart"/>
            <w:vAlign w:val="center"/>
          </w:tcPr>
          <w:p>
            <w:pPr>
              <w:snapToGrid w:val="0"/>
              <w:spacing w:line="276" w:lineRule="auto"/>
              <w:rPr>
                <w:rFonts w:ascii="宋体" w:hAnsi="宋体"/>
                <w:bCs/>
                <w:szCs w:val="21"/>
              </w:rPr>
            </w:pPr>
            <w:r>
              <w:rPr>
                <w:rFonts w:hint="eastAsia" w:ascii="宋体" w:hAnsi="宋体"/>
                <w:bCs/>
                <w:szCs w:val="21"/>
              </w:rPr>
              <w:t>技术服务</w:t>
            </w:r>
          </w:p>
        </w:tc>
        <w:tc>
          <w:tcPr>
            <w:tcW w:w="3119" w:type="dxa"/>
            <w:vAlign w:val="center"/>
          </w:tcPr>
          <w:p>
            <w:pPr>
              <w:snapToGrid w:val="0"/>
              <w:spacing w:line="360" w:lineRule="auto"/>
              <w:rPr>
                <w:rFonts w:ascii="宋体" w:hAnsi="宋体"/>
                <w:bCs/>
                <w:szCs w:val="21"/>
              </w:rPr>
            </w:pPr>
            <w:r>
              <w:rPr>
                <w:rFonts w:hint="eastAsia" w:ascii="宋体" w:hAnsi="宋体"/>
                <w:bCs/>
                <w:szCs w:val="21"/>
              </w:rPr>
              <w:t>项目现场支持</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27" w:type="dxa"/>
            <w:vMerge w:val="continue"/>
            <w:vAlign w:val="center"/>
          </w:tcPr>
          <w:p>
            <w:pPr>
              <w:snapToGrid w:val="0"/>
              <w:spacing w:line="276" w:lineRule="auto"/>
              <w:ind w:firstLine="210" w:firstLineChars="100"/>
              <w:rPr>
                <w:rFonts w:ascii="宋体" w:hAnsi="宋体"/>
                <w:bCs/>
                <w:szCs w:val="21"/>
              </w:rPr>
            </w:pPr>
          </w:p>
        </w:tc>
        <w:tc>
          <w:tcPr>
            <w:tcW w:w="3119" w:type="dxa"/>
            <w:vAlign w:val="center"/>
          </w:tcPr>
          <w:p>
            <w:pPr>
              <w:snapToGrid w:val="0"/>
              <w:spacing w:line="360" w:lineRule="auto"/>
              <w:rPr>
                <w:rFonts w:ascii="宋体" w:hAnsi="宋体"/>
                <w:bCs/>
                <w:szCs w:val="21"/>
              </w:rPr>
            </w:pPr>
            <w:r>
              <w:rPr>
                <w:rFonts w:hint="eastAsia" w:ascii="宋体" w:hAnsi="宋体"/>
                <w:bCs/>
                <w:szCs w:val="21"/>
              </w:rPr>
              <w:t>向客户送资料</w:t>
            </w:r>
          </w:p>
        </w:tc>
        <w:tc>
          <w:tcPr>
            <w:tcW w:w="3951" w:type="dxa"/>
            <w:vAlign w:val="center"/>
          </w:tcPr>
          <w:p>
            <w:pPr>
              <w:snapToGrid w:val="0"/>
              <w:spacing w:line="276" w:lineRule="auto"/>
              <w:ind w:firstLine="210" w:firstLineChars="100"/>
              <w:rPr>
                <w:rFonts w:ascii="宋体" w:hAnsi="宋体"/>
                <w:bCs/>
                <w:szCs w:val="21"/>
              </w:rPr>
            </w:pPr>
            <w:r>
              <w:rPr>
                <w:rFonts w:hint="eastAsia" w:ascii="宋体" w:hAnsi="宋体"/>
                <w:bCs/>
                <w:szCs w:val="21"/>
              </w:rPr>
              <w:t>提供</w:t>
            </w:r>
          </w:p>
        </w:tc>
      </w:tr>
    </w:tbl>
    <w:p>
      <w:pPr>
        <w:pStyle w:val="6"/>
        <w:numPr>
          <w:ilvl w:val="0"/>
          <w:numId w:val="3"/>
        </w:numPr>
        <w:rPr>
          <w:rFonts w:ascii="宋体" w:hAnsi="宋体"/>
          <w:b w:val="0"/>
          <w:sz w:val="28"/>
          <w:szCs w:val="28"/>
        </w:rPr>
      </w:pPr>
      <w:bookmarkStart w:id="12" w:name="_Toc515"/>
      <w:bookmarkStart w:id="13" w:name="_Toc422495036"/>
      <w:bookmarkStart w:id="14" w:name="_Toc27765"/>
      <w:bookmarkStart w:id="15" w:name="_Toc18762"/>
      <w:bookmarkStart w:id="16" w:name="_Toc46480111"/>
      <w:bookmarkStart w:id="17" w:name="_Toc4155"/>
      <w:bookmarkStart w:id="18" w:name="_Toc24559"/>
      <w:bookmarkStart w:id="19" w:name="_Toc22548"/>
      <w:bookmarkStart w:id="20" w:name="_Toc16757"/>
      <w:bookmarkStart w:id="21" w:name="_Toc11076"/>
      <w:bookmarkStart w:id="22" w:name="_Toc22139"/>
      <w:bookmarkStart w:id="23" w:name="_Toc23554"/>
      <w:bookmarkStart w:id="24" w:name="_Toc10736"/>
      <w:r>
        <w:rPr>
          <w:rFonts w:hint="eastAsia" w:ascii="宋体" w:hAnsi="宋体"/>
          <w:b w:val="0"/>
          <w:sz w:val="28"/>
          <w:szCs w:val="28"/>
        </w:rPr>
        <w:t>监控系统</w:t>
      </w:r>
      <w:bookmarkEnd w:id="12"/>
      <w:bookmarkEnd w:id="13"/>
      <w:bookmarkEnd w:id="14"/>
      <w:bookmarkEnd w:id="15"/>
      <w:bookmarkEnd w:id="16"/>
      <w:bookmarkEnd w:id="17"/>
      <w:bookmarkEnd w:id="18"/>
      <w:r>
        <w:rPr>
          <w:rFonts w:hint="eastAsia" w:ascii="宋体" w:hAnsi="宋体"/>
          <w:b w:val="0"/>
          <w:sz w:val="28"/>
          <w:szCs w:val="28"/>
        </w:rPr>
        <w:t>服务内容</w:t>
      </w:r>
      <w:bookmarkEnd w:id="19"/>
    </w:p>
    <w:p>
      <w:pPr>
        <w:spacing w:line="360" w:lineRule="auto"/>
        <w:rPr>
          <w:rFonts w:ascii="宋体" w:hAnsi="宋体"/>
          <w:sz w:val="24"/>
        </w:rPr>
      </w:pPr>
      <w:r>
        <w:t> </w:t>
      </w:r>
      <w:r>
        <w:rPr>
          <w:rFonts w:hint="eastAsia"/>
        </w:rPr>
        <w:t xml:space="preserve">    </w:t>
      </w:r>
      <w:r>
        <w:rPr>
          <w:rFonts w:ascii="宋体" w:hAnsi="宋体"/>
          <w:sz w:val="24"/>
        </w:rPr>
        <w:t>为了做好监控设备的维护工作，配备相应的人力、物力（工具、通讯设备等），负责对监控系统的维护、服务,承担起设备的维护服务工作,以保障监控系统的长期、可靠、有效地运行。</w:t>
      </w:r>
    </w:p>
    <w:p>
      <w:pPr>
        <w:spacing w:line="360" w:lineRule="auto"/>
        <w:ind w:firstLine="420"/>
        <w:rPr>
          <w:rFonts w:ascii="宋体" w:hAnsi="宋体"/>
          <w:sz w:val="24"/>
        </w:rPr>
      </w:pPr>
    </w:p>
    <w:p>
      <w:pPr>
        <w:rPr>
          <w:b/>
          <w:bCs/>
          <w:sz w:val="24"/>
        </w:rPr>
      </w:pPr>
      <w:bookmarkStart w:id="25" w:name="_Toc422495053"/>
      <w:bookmarkStart w:id="26" w:name="_Toc46480113"/>
      <w:r>
        <w:rPr>
          <w:rFonts w:hint="eastAsia"/>
          <w:b/>
          <w:bCs/>
          <w:sz w:val="24"/>
        </w:rPr>
        <w:t>定期巡检</w:t>
      </w:r>
      <w:bookmarkEnd w:id="25"/>
      <w:bookmarkEnd w:id="26"/>
    </w:p>
    <w:p>
      <w:pPr>
        <w:numPr>
          <w:ilvl w:val="0"/>
          <w:numId w:val="4"/>
        </w:numPr>
        <w:spacing w:line="360" w:lineRule="auto"/>
        <w:rPr>
          <w:rFonts w:ascii="宋体" w:hAnsi="宋体"/>
          <w:sz w:val="24"/>
        </w:rPr>
      </w:pPr>
      <w:r>
        <w:rPr>
          <w:rFonts w:hint="eastAsia" w:ascii="宋体" w:hAnsi="宋体"/>
          <w:sz w:val="24"/>
        </w:rPr>
        <w:t>每月由设备责任人检查线路，每次做完这项工作后必须对线路进行整理以保证线路的畅顺、整齐、规范。</w:t>
      </w:r>
    </w:p>
    <w:p>
      <w:pPr>
        <w:numPr>
          <w:ilvl w:val="0"/>
          <w:numId w:val="4"/>
        </w:numPr>
        <w:spacing w:line="360" w:lineRule="auto"/>
        <w:rPr>
          <w:rFonts w:ascii="宋体" w:hAnsi="宋体"/>
          <w:sz w:val="24"/>
        </w:rPr>
      </w:pPr>
      <w:r>
        <w:rPr>
          <w:rFonts w:hint="eastAsia" w:ascii="宋体" w:hAnsi="宋体"/>
          <w:sz w:val="24"/>
        </w:rPr>
        <w:t>每月检查一次信号传输质量，对检查情况作好记录，并将情况及时反馈给维修人员以保证及时处理。</w:t>
      </w:r>
    </w:p>
    <w:p>
      <w:pPr>
        <w:numPr>
          <w:ilvl w:val="0"/>
          <w:numId w:val="4"/>
        </w:numPr>
        <w:spacing w:line="360" w:lineRule="auto"/>
        <w:rPr>
          <w:rFonts w:ascii="宋体" w:hAnsi="宋体"/>
          <w:sz w:val="24"/>
        </w:rPr>
      </w:pPr>
      <w:r>
        <w:rPr>
          <w:rFonts w:hint="eastAsia" w:ascii="宋体" w:hAnsi="宋体"/>
          <w:sz w:val="24"/>
        </w:rPr>
        <w:t>通过每个月的小检查，重点巡检和图像质量检查，对出现的故障及时进行维修。</w:t>
      </w:r>
    </w:p>
    <w:p>
      <w:pPr>
        <w:numPr>
          <w:ilvl w:val="0"/>
          <w:numId w:val="4"/>
        </w:numPr>
        <w:spacing w:line="360" w:lineRule="auto"/>
        <w:rPr>
          <w:rFonts w:ascii="宋体" w:hAnsi="宋体"/>
          <w:sz w:val="24"/>
        </w:rPr>
      </w:pPr>
      <w:r>
        <w:rPr>
          <w:rFonts w:hint="eastAsia" w:ascii="宋体" w:hAnsi="宋体"/>
          <w:sz w:val="24"/>
        </w:rPr>
        <w:t>维修设备填写维修情况记录单，如下表：</w:t>
      </w:r>
    </w:p>
    <w:p>
      <w:pPr>
        <w:spacing w:line="360" w:lineRule="auto"/>
        <w:rPr>
          <w:rFonts w:ascii="宋体" w:hAnsi="宋体"/>
          <w:b/>
          <w:sz w:val="24"/>
        </w:rPr>
      </w:pPr>
      <w:bookmarkStart w:id="27" w:name="_Toc264531071"/>
      <w:bookmarkStart w:id="28" w:name="_Toc265238168"/>
      <w:r>
        <w:rPr>
          <w:rFonts w:hint="eastAsia" w:ascii="宋体" w:hAnsi="宋体"/>
          <w:b/>
          <w:sz w:val="24"/>
        </w:rPr>
        <w:t>视频监控系统维修情况记录单</w:t>
      </w:r>
      <w:bookmarkEnd w:id="27"/>
      <w:bookmarkEnd w:id="2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88" w:type="dxa"/>
            <w:gridSpan w:val="2"/>
            <w:shd w:val="clear" w:color="auto" w:fill="E0E0E0"/>
            <w:vAlign w:val="center"/>
          </w:tcPr>
          <w:p>
            <w:pPr>
              <w:rPr>
                <w:rFonts w:ascii="宋体" w:hAnsi="宋体"/>
                <w:sz w:val="24"/>
              </w:rPr>
            </w:pPr>
            <w:r>
              <w:rPr>
                <w:rFonts w:hint="eastAsia" w:ascii="宋体" w:hAnsi="宋体"/>
                <w:sz w:val="24"/>
              </w:rPr>
              <w:t>一、保障——报障方电话通知、承建方记录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07" w:type="dxa"/>
            <w:vAlign w:val="center"/>
          </w:tcPr>
          <w:p>
            <w:pPr>
              <w:rPr>
                <w:rFonts w:ascii="宋体" w:hAnsi="宋体"/>
                <w:sz w:val="24"/>
              </w:rPr>
            </w:pPr>
            <w:r>
              <w:rPr>
                <w:rFonts w:hint="eastAsia" w:ascii="宋体" w:hAnsi="宋体"/>
                <w:sz w:val="24"/>
              </w:rPr>
              <w:t>故障</w:t>
            </w:r>
            <w:r>
              <w:rPr>
                <w:rFonts w:hint="eastAsia" w:ascii="宋体" w:hAnsi="宋体"/>
                <w:sz w:val="24"/>
              </w:rPr>
              <w:br w:type="textWrapping"/>
            </w:r>
            <w:r>
              <w:rPr>
                <w:rFonts w:hint="eastAsia" w:ascii="宋体" w:hAnsi="宋体"/>
                <w:sz w:val="24"/>
              </w:rPr>
              <w:t>描述</w:t>
            </w:r>
          </w:p>
        </w:tc>
        <w:tc>
          <w:tcPr>
            <w:tcW w:w="7281" w:type="dxa"/>
          </w:tcPr>
          <w:p>
            <w:pPr>
              <w:rPr>
                <w:rFonts w:ascii="宋体" w:hAnsi="宋体"/>
                <w:sz w:val="24"/>
              </w:rPr>
            </w:pPr>
            <w:r>
              <w:rPr>
                <w:rFonts w:hint="eastAsia" w:ascii="宋体" w:hAnsi="宋体"/>
                <w:sz w:val="24"/>
              </w:rPr>
              <w:t>1、无图像      2、图像异常（长期模糊、显示不正常等）（请勾选适用项）</w:t>
            </w:r>
            <w:r>
              <w:rPr>
                <w:rFonts w:hint="eastAsia" w:ascii="宋体" w:hAnsi="宋体"/>
                <w:sz w:val="24"/>
              </w:rPr>
              <w:br w:type="textWrapping"/>
            </w:r>
            <w:r>
              <w:rPr>
                <w:rFonts w:hint="eastAsia" w:ascii="宋体" w:hAnsi="宋体"/>
                <w:sz w:val="24"/>
              </w:rPr>
              <w:t>3、主机无法使用      4、其他（请填写）：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tcPr>
          <w:p>
            <w:pPr>
              <w:rPr>
                <w:rFonts w:ascii="宋体" w:hAnsi="宋体"/>
                <w:sz w:val="24"/>
              </w:rPr>
            </w:pPr>
            <w:r>
              <w:rPr>
                <w:rFonts w:hint="eastAsia" w:ascii="宋体" w:hAnsi="宋体"/>
                <w:sz w:val="24"/>
              </w:rPr>
              <w:t>涉及监控点：</w:t>
            </w:r>
          </w:p>
          <w:p>
            <w:pPr>
              <w:rPr>
                <w:rFonts w:ascii="宋体" w:hAnsi="宋体"/>
                <w:sz w:val="24"/>
              </w:rPr>
            </w:pPr>
            <w:r>
              <w:rPr>
                <w:rFonts w:hint="eastAsia" w:ascii="宋体" w:hAnsi="宋体"/>
                <w:sz w:val="24"/>
              </w:rPr>
              <w:t>（请填写数量及所在地）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88" w:type="dxa"/>
            <w:gridSpan w:val="2"/>
          </w:tcPr>
          <w:p>
            <w:pPr>
              <w:rPr>
                <w:rFonts w:ascii="宋体" w:hAnsi="宋体"/>
                <w:sz w:val="24"/>
              </w:rPr>
            </w:pPr>
            <w:r>
              <w:rPr>
                <w:rFonts w:hint="eastAsia" w:ascii="宋体" w:hAnsi="宋体"/>
                <w:sz w:val="24"/>
              </w:rPr>
              <w:t>其他需要说明的情况：</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tcPr>
          <w:p>
            <w:pPr>
              <w:rPr>
                <w:rFonts w:ascii="宋体" w:hAnsi="宋体"/>
                <w:sz w:val="24"/>
              </w:rPr>
            </w:pPr>
            <w:r>
              <w:rPr>
                <w:rFonts w:hint="eastAsia" w:ascii="宋体" w:hAnsi="宋体"/>
                <w:sz w:val="24"/>
              </w:rPr>
              <w:t>报障单位：报障人：</w:t>
            </w:r>
          </w:p>
          <w:p>
            <w:pPr>
              <w:rPr>
                <w:rFonts w:ascii="宋体" w:hAnsi="宋体"/>
                <w:sz w:val="24"/>
              </w:rPr>
            </w:pPr>
            <w:r>
              <w:rPr>
                <w:rFonts w:hint="eastAsia" w:ascii="宋体" w:hAnsi="宋体"/>
                <w:sz w:val="24"/>
              </w:rPr>
              <w:t>联系电话：报障日期：年月日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shd w:val="clear" w:color="auto" w:fill="E0E0E0"/>
          </w:tcPr>
          <w:p>
            <w:pPr>
              <w:rPr>
                <w:rFonts w:ascii="宋体" w:hAnsi="宋体"/>
                <w:sz w:val="24"/>
              </w:rPr>
            </w:pPr>
            <w:r>
              <w:rPr>
                <w:rFonts w:hint="eastAsia" w:ascii="宋体" w:hAnsi="宋体"/>
                <w:sz w:val="24"/>
              </w:rPr>
              <w:t>二、检测——报障方代表、承建方工程师现场记录、签名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rPr>
                <w:rFonts w:ascii="宋体" w:hAnsi="宋体"/>
                <w:sz w:val="24"/>
              </w:rPr>
            </w:pPr>
            <w:r>
              <w:rPr>
                <w:rFonts w:hint="eastAsia" w:ascii="宋体" w:hAnsi="宋体"/>
                <w:sz w:val="24"/>
              </w:rPr>
              <w:t>故障</w:t>
            </w:r>
            <w:r>
              <w:rPr>
                <w:rFonts w:hint="eastAsia" w:ascii="宋体" w:hAnsi="宋体"/>
                <w:sz w:val="24"/>
              </w:rPr>
              <w:br w:type="textWrapping"/>
            </w:r>
            <w:r>
              <w:rPr>
                <w:rFonts w:hint="eastAsia" w:ascii="宋体" w:hAnsi="宋体"/>
                <w:sz w:val="24"/>
              </w:rPr>
              <w:t>分析</w:t>
            </w:r>
          </w:p>
        </w:tc>
        <w:tc>
          <w:tcPr>
            <w:tcW w:w="7281" w:type="dxa"/>
          </w:tcPr>
          <w:p>
            <w:pPr>
              <w:rPr>
                <w:rFonts w:ascii="宋体" w:hAnsi="宋体"/>
                <w:sz w:val="24"/>
              </w:rPr>
            </w:pPr>
            <w:r>
              <w:rPr>
                <w:rFonts w:hint="eastAsia" w:ascii="宋体" w:hAnsi="宋体"/>
                <w:sz w:val="24"/>
              </w:rPr>
              <w:t>1、前端设备损坏            2、通信、供电线路损坏（请勾选适用项）</w:t>
            </w:r>
            <w:r>
              <w:rPr>
                <w:rFonts w:hint="eastAsia" w:ascii="宋体" w:hAnsi="宋体"/>
                <w:sz w:val="24"/>
              </w:rPr>
              <w:br w:type="textWrapping"/>
            </w:r>
            <w:r>
              <w:rPr>
                <w:rFonts w:hint="eastAsia" w:ascii="宋体" w:hAnsi="宋体"/>
                <w:sz w:val="24"/>
              </w:rPr>
              <w:t>3、通信设备损坏            4、主机（部件）损坏</w:t>
            </w:r>
          </w:p>
          <w:p>
            <w:pPr>
              <w:rPr>
                <w:rFonts w:ascii="宋体" w:hAnsi="宋体"/>
                <w:sz w:val="24"/>
              </w:rPr>
            </w:pPr>
            <w:r>
              <w:rPr>
                <w:rFonts w:hint="eastAsia" w:ascii="宋体" w:hAnsi="宋体"/>
                <w:sz w:val="24"/>
              </w:rPr>
              <w:t>5、其他（请填写）：</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rPr>
                <w:rFonts w:ascii="宋体" w:hAnsi="宋体"/>
                <w:sz w:val="24"/>
              </w:rPr>
            </w:pPr>
            <w:r>
              <w:rPr>
                <w:rFonts w:hint="eastAsia" w:ascii="宋体" w:hAnsi="宋体"/>
                <w:sz w:val="24"/>
              </w:rPr>
              <w:t>故障</w:t>
            </w:r>
            <w:r>
              <w:rPr>
                <w:rFonts w:hint="eastAsia" w:ascii="宋体" w:hAnsi="宋体"/>
                <w:sz w:val="24"/>
              </w:rPr>
              <w:br w:type="textWrapping"/>
            </w:r>
            <w:r>
              <w:rPr>
                <w:rFonts w:hint="eastAsia" w:ascii="宋体" w:hAnsi="宋体"/>
                <w:sz w:val="24"/>
              </w:rPr>
              <w:t>原因</w:t>
            </w:r>
          </w:p>
        </w:tc>
        <w:tc>
          <w:tcPr>
            <w:tcW w:w="7281" w:type="dxa"/>
          </w:tcPr>
          <w:p>
            <w:pPr>
              <w:rPr>
                <w:rFonts w:ascii="宋体" w:hAnsi="宋体"/>
                <w:sz w:val="24"/>
              </w:rPr>
            </w:pPr>
            <w:r>
              <w:rPr>
                <w:rFonts w:hint="eastAsia" w:ascii="宋体" w:hAnsi="宋体"/>
                <w:sz w:val="24"/>
              </w:rPr>
              <w:t>1、设备老化                2、打雷（请勾选适用项）</w:t>
            </w:r>
            <w:r>
              <w:rPr>
                <w:rFonts w:hint="eastAsia" w:ascii="宋体" w:hAnsi="宋体"/>
                <w:sz w:val="24"/>
              </w:rPr>
              <w:br w:type="textWrapping"/>
            </w:r>
            <w:r>
              <w:rPr>
                <w:rFonts w:hint="eastAsia" w:ascii="宋体" w:hAnsi="宋体"/>
                <w:sz w:val="24"/>
              </w:rPr>
              <w:t>3、外部施工导致            4、其他（请填写）：</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rPr>
                <w:rFonts w:ascii="宋体" w:hAnsi="宋体"/>
                <w:sz w:val="24"/>
              </w:rPr>
            </w:pPr>
            <w:r>
              <w:rPr>
                <w:rFonts w:hint="eastAsia" w:ascii="宋体" w:hAnsi="宋体"/>
                <w:sz w:val="24"/>
              </w:rPr>
              <w:t>初步解</w:t>
            </w:r>
            <w:r>
              <w:rPr>
                <w:rFonts w:hint="eastAsia" w:ascii="宋体" w:hAnsi="宋体"/>
                <w:sz w:val="24"/>
              </w:rPr>
              <w:br w:type="textWrapping"/>
            </w:r>
            <w:r>
              <w:rPr>
                <w:rFonts w:hint="eastAsia" w:ascii="宋体" w:hAnsi="宋体"/>
                <w:sz w:val="24"/>
              </w:rPr>
              <w:t>决办法</w:t>
            </w:r>
          </w:p>
        </w:tc>
        <w:tc>
          <w:tcPr>
            <w:tcW w:w="7281" w:type="dxa"/>
          </w:tcPr>
          <w:p>
            <w:pPr>
              <w:rPr>
                <w:rFonts w:ascii="宋体" w:hAnsi="宋体"/>
                <w:sz w:val="24"/>
              </w:rPr>
            </w:pPr>
            <w:r>
              <w:rPr>
                <w:rFonts w:hint="eastAsia" w:ascii="宋体" w:hAnsi="宋体"/>
                <w:sz w:val="24"/>
              </w:rPr>
              <w:t>1、现场修复                2、送原厂维修（请勾选适用项）</w:t>
            </w:r>
            <w:r>
              <w:rPr>
                <w:rFonts w:hint="eastAsia" w:ascii="宋体" w:hAnsi="宋体"/>
                <w:sz w:val="24"/>
              </w:rPr>
              <w:br w:type="textWrapping"/>
            </w:r>
            <w:r>
              <w:rPr>
                <w:rFonts w:hint="eastAsia" w:ascii="宋体" w:hAnsi="宋体"/>
                <w:sz w:val="24"/>
              </w:rPr>
              <w:t>3、预计另派工程师____天内上门维修</w:t>
            </w:r>
          </w:p>
          <w:p>
            <w:pPr>
              <w:rPr>
                <w:rFonts w:ascii="宋体" w:hAnsi="宋体"/>
                <w:sz w:val="24"/>
              </w:rPr>
            </w:pPr>
            <w:r>
              <w:rPr>
                <w:rFonts w:hint="eastAsia" w:ascii="宋体" w:hAnsi="宋体"/>
                <w:sz w:val="24"/>
              </w:rPr>
              <w:t>4、其他（请填写）：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tcPr>
          <w:p>
            <w:pPr>
              <w:rPr>
                <w:rFonts w:ascii="宋体" w:hAnsi="宋体"/>
                <w:sz w:val="24"/>
              </w:rPr>
            </w:pPr>
            <w:r>
              <w:rPr>
                <w:rFonts w:hint="eastAsia" w:ascii="宋体" w:hAnsi="宋体"/>
                <w:sz w:val="24"/>
              </w:rPr>
              <w:t>检测工程师（签名）：上门检测日期：年月日</w:t>
            </w:r>
          </w:p>
          <w:p>
            <w:pPr>
              <w:rPr>
                <w:rFonts w:ascii="宋体" w:hAnsi="宋体"/>
                <w:sz w:val="24"/>
              </w:rPr>
            </w:pPr>
            <w:r>
              <w:rPr>
                <w:rFonts w:hint="eastAsia" w:ascii="宋体" w:hAnsi="宋体"/>
                <w:sz w:val="24"/>
              </w:rPr>
              <w:t>报障人确认报障与检测情况（签名）：确认日期：年月日</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shd w:val="clear" w:color="auto" w:fill="E0E0E0"/>
          </w:tcPr>
          <w:p>
            <w:pPr>
              <w:rPr>
                <w:rFonts w:ascii="宋体" w:hAnsi="宋体"/>
                <w:sz w:val="24"/>
              </w:rPr>
            </w:pPr>
            <w:r>
              <w:rPr>
                <w:rFonts w:hint="eastAsia" w:ascii="宋体" w:hAnsi="宋体"/>
                <w:sz w:val="24"/>
              </w:rPr>
              <w:t>三、解决——报障方代表、承建方工程师现场记录、签名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rPr>
                <w:rFonts w:ascii="宋体" w:hAnsi="宋体"/>
                <w:sz w:val="24"/>
              </w:rPr>
            </w:pPr>
            <w:r>
              <w:rPr>
                <w:rFonts w:hint="eastAsia" w:ascii="宋体" w:hAnsi="宋体"/>
                <w:sz w:val="24"/>
              </w:rPr>
              <w:t>故障解</w:t>
            </w:r>
            <w:r>
              <w:rPr>
                <w:rFonts w:hint="eastAsia" w:ascii="宋体" w:hAnsi="宋体"/>
                <w:sz w:val="24"/>
              </w:rPr>
              <w:br w:type="textWrapping"/>
            </w:r>
            <w:r>
              <w:rPr>
                <w:rFonts w:hint="eastAsia" w:ascii="宋体" w:hAnsi="宋体"/>
                <w:sz w:val="24"/>
              </w:rPr>
              <w:t>决结果</w:t>
            </w:r>
          </w:p>
        </w:tc>
        <w:tc>
          <w:tcPr>
            <w:tcW w:w="7281" w:type="dxa"/>
          </w:tcPr>
          <w:p>
            <w:pPr>
              <w:rPr>
                <w:rFonts w:ascii="宋体" w:hAnsi="宋体"/>
                <w:sz w:val="24"/>
              </w:rPr>
            </w:pPr>
            <w:r>
              <w:rPr>
                <w:rFonts w:hint="eastAsia" w:ascii="宋体" w:hAnsi="宋体"/>
                <w:sz w:val="24"/>
              </w:rPr>
              <w:t>1、更换设备                2、维修好原设备（请勾选适用项）</w:t>
            </w:r>
            <w:r>
              <w:rPr>
                <w:rFonts w:hint="eastAsia" w:ascii="宋体" w:hAnsi="宋体"/>
                <w:sz w:val="24"/>
              </w:rPr>
              <w:br w:type="textWrapping"/>
            </w:r>
            <w:r>
              <w:rPr>
                <w:rFonts w:hint="eastAsia" w:ascii="宋体" w:hAnsi="宋体"/>
                <w:sz w:val="24"/>
              </w:rPr>
              <w:t>3、其他（请填写）：</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tcPr>
          <w:p>
            <w:pPr>
              <w:rPr>
                <w:rFonts w:ascii="宋体" w:hAnsi="宋体"/>
                <w:sz w:val="24"/>
              </w:rPr>
            </w:pPr>
            <w:r>
              <w:rPr>
                <w:rFonts w:hint="eastAsia" w:ascii="宋体" w:hAnsi="宋体"/>
                <w:sz w:val="24"/>
              </w:rPr>
              <w:t>工程师（签名）：故障解决日期：年月日</w:t>
            </w:r>
          </w:p>
          <w:p>
            <w:pPr>
              <w:rPr>
                <w:rFonts w:ascii="宋体" w:hAnsi="宋体"/>
                <w:sz w:val="24"/>
              </w:rPr>
            </w:pPr>
            <w:r>
              <w:rPr>
                <w:rFonts w:hint="eastAsia" w:ascii="宋体" w:hAnsi="宋体"/>
                <w:sz w:val="24"/>
              </w:rPr>
              <w:t>报障人确认故障解决（签名）：确认日期：年月日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2"/>
          </w:tcPr>
          <w:p>
            <w:pPr>
              <w:rPr>
                <w:rFonts w:ascii="宋体" w:hAnsi="宋体"/>
                <w:sz w:val="24"/>
              </w:rPr>
            </w:pPr>
            <w:r>
              <w:rPr>
                <w:rFonts w:hint="eastAsia" w:ascii="宋体" w:hAnsi="宋体"/>
                <w:sz w:val="24"/>
              </w:rPr>
              <w:t>备注：</w:t>
            </w:r>
          </w:p>
          <w:p>
            <w:pPr>
              <w:rPr>
                <w:rFonts w:ascii="宋体" w:hAnsi="宋体"/>
                <w:sz w:val="24"/>
              </w:rPr>
            </w:pPr>
          </w:p>
          <w:p>
            <w:pPr>
              <w:rPr>
                <w:rFonts w:ascii="宋体" w:hAnsi="宋体"/>
                <w:sz w:val="24"/>
              </w:rPr>
            </w:pPr>
          </w:p>
        </w:tc>
      </w:tr>
    </w:tbl>
    <w:p>
      <w:pPr>
        <w:numPr>
          <w:ilvl w:val="0"/>
          <w:numId w:val="4"/>
        </w:numPr>
        <w:spacing w:line="360" w:lineRule="auto"/>
        <w:rPr>
          <w:rFonts w:ascii="宋体" w:hAnsi="宋体"/>
          <w:sz w:val="24"/>
        </w:rPr>
      </w:pPr>
      <w:r>
        <w:rPr>
          <w:rFonts w:hint="eastAsia" w:ascii="宋体" w:hAnsi="宋体"/>
          <w:sz w:val="24"/>
        </w:rPr>
        <w:t>对于部分外露设备，例如机柜、立杆等，平时在日常巡检过程中，如出现有生锈的情况，及时油漆。</w:t>
      </w:r>
    </w:p>
    <w:p>
      <w:pPr>
        <w:numPr>
          <w:ilvl w:val="0"/>
          <w:numId w:val="4"/>
        </w:numPr>
        <w:spacing w:line="360" w:lineRule="auto"/>
        <w:rPr>
          <w:rFonts w:ascii="宋体" w:hAnsi="宋体"/>
          <w:sz w:val="24"/>
        </w:rPr>
      </w:pPr>
      <w:r>
        <w:rPr>
          <w:rFonts w:hint="eastAsia" w:ascii="宋体" w:hAnsi="宋体"/>
          <w:sz w:val="24"/>
        </w:rPr>
        <w:t>对户外摄像机及防雷系统进行全面检修。检测防雷地阻，必要的时候重新做防雷处理。</w:t>
      </w:r>
    </w:p>
    <w:p>
      <w:pPr>
        <w:numPr>
          <w:ilvl w:val="0"/>
          <w:numId w:val="4"/>
        </w:numPr>
        <w:spacing w:line="360" w:lineRule="auto"/>
        <w:rPr>
          <w:rFonts w:ascii="宋体" w:hAnsi="宋体"/>
          <w:sz w:val="24"/>
        </w:rPr>
      </w:pPr>
      <w:r>
        <w:rPr>
          <w:rFonts w:hint="eastAsia" w:ascii="宋体" w:hAnsi="宋体"/>
          <w:sz w:val="24"/>
        </w:rPr>
        <w:t>对传输线路和电源线路进行全面修复检查，对于裸露的管线进行修复。</w:t>
      </w:r>
    </w:p>
    <w:p>
      <w:pPr>
        <w:numPr>
          <w:ilvl w:val="0"/>
          <w:numId w:val="4"/>
        </w:numPr>
        <w:spacing w:line="360" w:lineRule="auto"/>
        <w:rPr>
          <w:rFonts w:ascii="宋体" w:hAnsi="宋体"/>
          <w:sz w:val="24"/>
        </w:rPr>
      </w:pPr>
      <w:r>
        <w:rPr>
          <w:rFonts w:hint="eastAsia" w:ascii="宋体" w:hAnsi="宋体"/>
          <w:sz w:val="24"/>
        </w:rPr>
        <w:t>已有监控系统中，根据实际摄像头的位置情况需要移机的，需无偿提供人工移机服务，移机所需的线路和配件由院方提供。</w:t>
      </w:r>
    </w:p>
    <w:p>
      <w:pPr>
        <w:pStyle w:val="6"/>
        <w:numPr>
          <w:ilvl w:val="0"/>
          <w:numId w:val="3"/>
        </w:numPr>
        <w:rPr>
          <w:rFonts w:ascii="宋体" w:hAnsi="宋体"/>
          <w:b w:val="0"/>
          <w:sz w:val="28"/>
          <w:szCs w:val="28"/>
        </w:rPr>
      </w:pPr>
      <w:bookmarkStart w:id="29" w:name="_Toc9837"/>
      <w:r>
        <w:rPr>
          <w:rFonts w:hint="eastAsia" w:ascii="宋体" w:hAnsi="宋体"/>
          <w:b w:val="0"/>
          <w:sz w:val="28"/>
          <w:szCs w:val="28"/>
        </w:rPr>
        <w:t>综合布线系统服务内容</w:t>
      </w:r>
      <w:bookmarkEnd w:id="29"/>
    </w:p>
    <w:p>
      <w:pPr>
        <w:spacing w:line="360" w:lineRule="auto"/>
        <w:ind w:firstLine="480" w:firstLineChars="200"/>
        <w:rPr>
          <w:rFonts w:ascii="宋体" w:hAnsi="宋体"/>
          <w:b/>
          <w:sz w:val="24"/>
        </w:rPr>
      </w:pPr>
      <w:r>
        <w:rPr>
          <w:rFonts w:hint="eastAsia" w:ascii="宋体" w:hAnsi="宋体"/>
          <w:sz w:val="24"/>
        </w:rPr>
        <w:t xml:space="preserve"> 安排专业的技术人员</w:t>
      </w:r>
      <w:r>
        <w:rPr>
          <w:rFonts w:ascii="宋体" w:hAnsi="宋体"/>
          <w:sz w:val="24"/>
        </w:rPr>
        <w:t>负责对</w:t>
      </w:r>
      <w:r>
        <w:rPr>
          <w:rFonts w:hint="eastAsia" w:ascii="宋体" w:hAnsi="宋体"/>
          <w:sz w:val="24"/>
        </w:rPr>
        <w:t>综合布线</w:t>
      </w:r>
      <w:r>
        <w:rPr>
          <w:rFonts w:ascii="宋体" w:hAnsi="宋体"/>
          <w:sz w:val="24"/>
        </w:rPr>
        <w:t>系统</w:t>
      </w:r>
      <w:r>
        <w:rPr>
          <w:rFonts w:hint="eastAsia" w:ascii="宋体" w:hAnsi="宋体"/>
          <w:sz w:val="24"/>
        </w:rPr>
        <w:t>进行</w:t>
      </w:r>
      <w:r>
        <w:rPr>
          <w:rFonts w:ascii="宋体" w:hAnsi="宋体"/>
          <w:sz w:val="24"/>
        </w:rPr>
        <w:t>维护,保障</w:t>
      </w:r>
      <w:r>
        <w:rPr>
          <w:rFonts w:hint="eastAsia" w:ascii="宋体" w:hAnsi="宋体"/>
          <w:sz w:val="24"/>
        </w:rPr>
        <w:t>综合布线</w:t>
      </w:r>
      <w:r>
        <w:rPr>
          <w:rFonts w:ascii="宋体" w:hAnsi="宋体"/>
          <w:sz w:val="24"/>
        </w:rPr>
        <w:t>系统的长期、可靠、有效地运行。</w:t>
      </w:r>
    </w:p>
    <w:p>
      <w:pPr>
        <w:spacing w:line="360" w:lineRule="auto"/>
        <w:rPr>
          <w:rFonts w:ascii="宋体" w:hAnsi="宋体"/>
          <w:b/>
          <w:sz w:val="24"/>
        </w:rPr>
      </w:pPr>
      <w:r>
        <w:rPr>
          <w:rFonts w:hint="eastAsia" w:ascii="宋体" w:hAnsi="宋体"/>
          <w:b/>
          <w:sz w:val="24"/>
        </w:rPr>
        <w:t>定期维护</w:t>
      </w:r>
    </w:p>
    <w:p>
      <w:pPr>
        <w:widowControl/>
        <w:snapToGrid w:val="0"/>
        <w:spacing w:line="360" w:lineRule="auto"/>
        <w:ind w:firstLine="480" w:firstLineChars="200"/>
        <w:jc w:val="left"/>
        <w:rPr>
          <w:rFonts w:ascii="宋体" w:hAnsi="宋体"/>
          <w:sz w:val="24"/>
        </w:rPr>
      </w:pPr>
      <w:r>
        <w:rPr>
          <w:rFonts w:hint="eastAsia" w:ascii="宋体" w:hAnsi="宋体"/>
          <w:sz w:val="24"/>
        </w:rPr>
        <w:t>在综合布线系统正常运行期间，定期对其进行保养和检查。一般每月进行一次。目的是将隐患消除在萌芽状态，确保综合布线系统能够经久耐用。</w:t>
      </w:r>
    </w:p>
    <w:p>
      <w:pPr>
        <w:widowControl/>
        <w:snapToGrid w:val="0"/>
        <w:spacing w:line="360" w:lineRule="auto"/>
        <w:ind w:firstLine="480" w:firstLineChars="200"/>
        <w:jc w:val="left"/>
        <w:rPr>
          <w:rFonts w:ascii="宋体" w:hAnsi="宋体"/>
          <w:sz w:val="24"/>
        </w:rPr>
      </w:pPr>
      <w:r>
        <w:rPr>
          <w:rFonts w:hint="eastAsia" w:ascii="宋体" w:hAnsi="宋体"/>
          <w:sz w:val="24"/>
        </w:rPr>
        <w:t>定期维护内容包括：</w:t>
      </w:r>
    </w:p>
    <w:p>
      <w:pPr>
        <w:widowControl/>
        <w:snapToGrid w:val="0"/>
        <w:spacing w:line="360" w:lineRule="auto"/>
        <w:ind w:firstLine="480" w:firstLineChars="200"/>
        <w:jc w:val="left"/>
        <w:rPr>
          <w:rFonts w:ascii="宋体" w:hAnsi="宋体"/>
          <w:sz w:val="24"/>
        </w:rPr>
      </w:pPr>
      <w:r>
        <w:rPr>
          <w:rFonts w:hint="eastAsia" w:ascii="宋体" w:hAnsi="宋体"/>
          <w:sz w:val="24"/>
        </w:rPr>
        <w:t>1）清除机柜内外综合布线系统上的灰尘。</w:t>
      </w:r>
    </w:p>
    <w:p>
      <w:pPr>
        <w:widowControl/>
        <w:snapToGrid w:val="0"/>
        <w:spacing w:line="360" w:lineRule="auto"/>
        <w:ind w:firstLine="480" w:firstLineChars="200"/>
        <w:jc w:val="left"/>
        <w:rPr>
          <w:rFonts w:ascii="宋体" w:hAnsi="宋体"/>
          <w:sz w:val="24"/>
        </w:rPr>
      </w:pPr>
      <w:r>
        <w:rPr>
          <w:rFonts w:hint="eastAsia" w:ascii="宋体" w:hAnsi="宋体"/>
          <w:sz w:val="24"/>
        </w:rPr>
        <w:t>2）检查综合布线桥架的平整度，如果发生变形、支架螺丝脱落等于安装图纸不相符合的情况立即修复。一面桥架断裂或脱落致使信息业务突然中断。</w:t>
      </w:r>
    </w:p>
    <w:p>
      <w:pPr>
        <w:widowControl/>
        <w:snapToGrid w:val="0"/>
        <w:spacing w:line="360" w:lineRule="auto"/>
        <w:ind w:firstLine="480" w:firstLineChars="200"/>
        <w:jc w:val="left"/>
        <w:rPr>
          <w:rFonts w:ascii="宋体" w:hAnsi="宋体"/>
          <w:sz w:val="24"/>
        </w:rPr>
      </w:pPr>
      <w:r>
        <w:rPr>
          <w:rFonts w:hint="eastAsia" w:ascii="宋体" w:hAnsi="宋体"/>
          <w:sz w:val="24"/>
        </w:rPr>
        <w:t>3）对弱电模块进行检查，确保模块正常使用。</w:t>
      </w:r>
    </w:p>
    <w:p>
      <w:pPr>
        <w:widowControl/>
        <w:snapToGrid w:val="0"/>
        <w:spacing w:line="360" w:lineRule="auto"/>
        <w:ind w:firstLine="480" w:firstLineChars="200"/>
        <w:jc w:val="left"/>
        <w:rPr>
          <w:rFonts w:ascii="宋体" w:hAnsi="宋体"/>
          <w:sz w:val="24"/>
        </w:rPr>
      </w:pPr>
    </w:p>
    <w:p>
      <w:pPr>
        <w:spacing w:line="360" w:lineRule="auto"/>
        <w:rPr>
          <w:rFonts w:ascii="宋体" w:hAnsi="宋体"/>
          <w:b/>
          <w:sz w:val="24"/>
        </w:rPr>
      </w:pPr>
      <w:r>
        <w:rPr>
          <w:rFonts w:hint="eastAsia" w:ascii="宋体" w:hAnsi="宋体"/>
          <w:b/>
          <w:sz w:val="24"/>
        </w:rPr>
        <w:t>故障排除</w:t>
      </w:r>
    </w:p>
    <w:p>
      <w:pPr>
        <w:widowControl/>
        <w:snapToGrid w:val="0"/>
        <w:spacing w:line="360" w:lineRule="auto"/>
        <w:ind w:firstLine="480" w:firstLineChars="200"/>
        <w:jc w:val="left"/>
        <w:rPr>
          <w:rFonts w:ascii="宋体" w:hAnsi="宋体"/>
          <w:sz w:val="24"/>
        </w:rPr>
      </w:pPr>
      <w:r>
        <w:rPr>
          <w:rFonts w:hint="eastAsia" w:ascii="宋体" w:hAnsi="宋体"/>
          <w:sz w:val="24"/>
        </w:rPr>
        <w:t>需要制定故障排除预案。在出现故障时，尽快到达现场进行故障排除。主要进行以下工作：</w:t>
      </w:r>
    </w:p>
    <w:p>
      <w:pPr>
        <w:widowControl/>
        <w:snapToGrid w:val="0"/>
        <w:spacing w:line="360" w:lineRule="auto"/>
        <w:ind w:firstLine="480" w:firstLineChars="200"/>
        <w:jc w:val="left"/>
        <w:rPr>
          <w:rFonts w:ascii="宋体" w:hAnsi="宋体"/>
          <w:sz w:val="24"/>
        </w:rPr>
      </w:pPr>
      <w:r>
        <w:rPr>
          <w:rFonts w:hint="eastAsia" w:ascii="宋体" w:hAnsi="宋体"/>
          <w:sz w:val="24"/>
        </w:rPr>
        <w:t>1）确认故障现象，初步判定故障所发生的位置，并将故障缩小到相应范围。</w:t>
      </w:r>
    </w:p>
    <w:p>
      <w:pPr>
        <w:widowControl/>
        <w:snapToGrid w:val="0"/>
        <w:spacing w:line="360" w:lineRule="auto"/>
        <w:ind w:firstLine="480" w:firstLineChars="200"/>
        <w:jc w:val="left"/>
        <w:rPr>
          <w:rFonts w:ascii="宋体" w:hAnsi="宋体"/>
          <w:sz w:val="24"/>
        </w:rPr>
      </w:pPr>
      <w:r>
        <w:rPr>
          <w:rFonts w:hint="eastAsia" w:ascii="宋体" w:hAnsi="宋体"/>
          <w:sz w:val="24"/>
        </w:rPr>
        <w:t>2）根据现场情况进行排障，对于无法立即修复的问题，使用备品备件进行线路应急修复，先保障信息传输畅通无阻。</w:t>
      </w:r>
    </w:p>
    <w:p>
      <w:pPr>
        <w:widowControl/>
        <w:snapToGrid w:val="0"/>
        <w:spacing w:line="360" w:lineRule="auto"/>
        <w:ind w:firstLine="480" w:firstLineChars="200"/>
        <w:jc w:val="left"/>
        <w:rPr>
          <w:rFonts w:ascii="宋体" w:hAnsi="宋体"/>
          <w:sz w:val="24"/>
        </w:rPr>
      </w:pPr>
      <w:r>
        <w:rPr>
          <w:rFonts w:hint="eastAsia" w:ascii="宋体" w:hAnsi="宋体"/>
          <w:sz w:val="24"/>
        </w:rPr>
        <w:t>3）对故障情况及时进行记录，记录手段包括文字及故障位置的照片。并对这些记录进行保存，并定期进行统计和分析，确定后续维护计划。</w:t>
      </w:r>
    </w:p>
    <w:p>
      <w:pPr>
        <w:pStyle w:val="6"/>
        <w:numPr>
          <w:ilvl w:val="0"/>
          <w:numId w:val="3"/>
        </w:numPr>
        <w:rPr>
          <w:rFonts w:ascii="宋体" w:hAnsi="宋体"/>
          <w:b w:val="0"/>
          <w:sz w:val="28"/>
          <w:szCs w:val="28"/>
        </w:rPr>
      </w:pPr>
      <w:bookmarkStart w:id="30" w:name="_Toc30938"/>
      <w:r>
        <w:rPr>
          <w:rFonts w:hint="eastAsia" w:ascii="宋体" w:hAnsi="宋体"/>
          <w:b w:val="0"/>
          <w:sz w:val="28"/>
          <w:szCs w:val="28"/>
        </w:rPr>
        <w:t>消控室相关服务内容</w:t>
      </w:r>
      <w:bookmarkEnd w:id="30"/>
    </w:p>
    <w:p>
      <w:pPr>
        <w:spacing w:line="360" w:lineRule="auto"/>
        <w:ind w:firstLine="480" w:firstLineChars="200"/>
        <w:jc w:val="left"/>
        <w:rPr>
          <w:rFonts w:ascii="宋体"/>
          <w:sz w:val="24"/>
        </w:rPr>
      </w:pPr>
      <w:r>
        <w:rPr>
          <w:rFonts w:hint="eastAsia"/>
          <w:sz w:val="24"/>
        </w:rPr>
        <w:t>为了</w:t>
      </w:r>
      <w:r>
        <w:rPr>
          <w:rFonts w:hint="eastAsia" w:ascii="宋体"/>
          <w:sz w:val="24"/>
        </w:rPr>
        <w:t>保证消控室内服务器、存储硬盘、磁盘陈列、显示器等设备的安全、稳定、高效运行，及时排除软硬件故障及安全隐患，根据巡检服务计划，派遣技术人员对消控室内的相关设备进行全面的巡检。</w:t>
      </w:r>
    </w:p>
    <w:p>
      <w:pPr>
        <w:spacing w:line="360" w:lineRule="auto"/>
        <w:ind w:firstLine="480" w:firstLineChars="200"/>
        <w:jc w:val="left"/>
        <w:rPr>
          <w:rFonts w:ascii="宋体"/>
          <w:sz w:val="24"/>
        </w:rPr>
      </w:pPr>
      <w:r>
        <w:rPr>
          <w:rFonts w:hint="eastAsia" w:ascii="宋体"/>
          <w:sz w:val="24"/>
        </w:rPr>
        <w:t>巡检主要就以下内容进行交流：</w:t>
      </w:r>
    </w:p>
    <w:p>
      <w:pPr>
        <w:numPr>
          <w:ilvl w:val="0"/>
          <w:numId w:val="5"/>
        </w:numPr>
        <w:spacing w:line="360" w:lineRule="auto"/>
        <w:jc w:val="left"/>
        <w:rPr>
          <w:rFonts w:ascii="宋体"/>
          <w:sz w:val="24"/>
        </w:rPr>
      </w:pPr>
      <w:r>
        <w:rPr>
          <w:rFonts w:hint="eastAsia" w:ascii="宋体"/>
          <w:sz w:val="24"/>
        </w:rPr>
        <w:t>设备使用情况了解；</w:t>
      </w:r>
    </w:p>
    <w:p>
      <w:pPr>
        <w:numPr>
          <w:ilvl w:val="0"/>
          <w:numId w:val="5"/>
        </w:numPr>
        <w:spacing w:line="360" w:lineRule="auto"/>
        <w:jc w:val="left"/>
        <w:rPr>
          <w:rFonts w:ascii="宋体"/>
          <w:sz w:val="24"/>
        </w:rPr>
      </w:pPr>
      <w:r>
        <w:rPr>
          <w:rFonts w:hint="eastAsia"/>
          <w:sz w:val="24"/>
        </w:rPr>
        <w:t>现场操作指导</w:t>
      </w:r>
      <w:r>
        <w:rPr>
          <w:rFonts w:hint="eastAsia" w:ascii="宋体"/>
          <w:sz w:val="24"/>
        </w:rPr>
        <w:t>；</w:t>
      </w:r>
    </w:p>
    <w:p>
      <w:pPr>
        <w:numPr>
          <w:ilvl w:val="0"/>
          <w:numId w:val="5"/>
        </w:numPr>
        <w:spacing w:line="360" w:lineRule="auto"/>
        <w:jc w:val="left"/>
        <w:rPr>
          <w:rFonts w:ascii="宋体"/>
          <w:sz w:val="24"/>
        </w:rPr>
      </w:pPr>
      <w:r>
        <w:rPr>
          <w:rFonts w:hint="eastAsia" w:ascii="宋体"/>
          <w:sz w:val="24"/>
        </w:rPr>
        <w:t>解决巡检中碰到的问题，提出日常维护建议；</w:t>
      </w:r>
    </w:p>
    <w:p>
      <w:pPr>
        <w:spacing w:line="360" w:lineRule="auto"/>
        <w:ind w:firstLine="480" w:firstLineChars="200"/>
        <w:jc w:val="left"/>
        <w:rPr>
          <w:sz w:val="24"/>
        </w:rPr>
      </w:pPr>
      <w:r>
        <w:rPr>
          <w:rFonts w:hint="eastAsia"/>
          <w:sz w:val="24"/>
        </w:rPr>
        <w:t>在巡检过程中发现的问题，</w:t>
      </w:r>
      <w:r>
        <w:rPr>
          <w:rFonts w:hint="eastAsia" w:ascii="宋体"/>
          <w:sz w:val="24"/>
        </w:rPr>
        <w:t>巡检人员将及时处理，快速反馈，使用户现场存在的问题能在最短的时间内得到解决。同时加强沟通，使用户在出现问题时，能及时快速的反应到支持部门，使问题得到及时有效的处理，保证用户网络设备的正常运行</w:t>
      </w:r>
      <w:r>
        <w:rPr>
          <w:rFonts w:hint="eastAsia"/>
          <w:sz w:val="24"/>
        </w:rPr>
        <w:t>。</w:t>
      </w:r>
    </w:p>
    <w:p>
      <w:pPr>
        <w:spacing w:line="360" w:lineRule="auto"/>
        <w:ind w:firstLine="480" w:firstLineChars="200"/>
        <w:jc w:val="left"/>
        <w:rPr>
          <w:sz w:val="24"/>
        </w:rPr>
      </w:pPr>
      <w:r>
        <w:rPr>
          <w:rFonts w:hint="eastAsia"/>
          <w:sz w:val="24"/>
        </w:rPr>
        <w:t>一、服务器存储巡检表</w:t>
      </w:r>
    </w:p>
    <w:tbl>
      <w:tblPr>
        <w:tblStyle w:val="29"/>
        <w:tblW w:w="8713" w:type="dxa"/>
        <w:jc w:val="center"/>
        <w:tblLayout w:type="autofit"/>
        <w:tblCellMar>
          <w:top w:w="0" w:type="dxa"/>
          <w:left w:w="108" w:type="dxa"/>
          <w:bottom w:w="0" w:type="dxa"/>
          <w:right w:w="108" w:type="dxa"/>
        </w:tblCellMar>
      </w:tblPr>
      <w:tblGrid>
        <w:gridCol w:w="1578"/>
        <w:gridCol w:w="2466"/>
        <w:gridCol w:w="1036"/>
        <w:gridCol w:w="993"/>
        <w:gridCol w:w="1455"/>
        <w:gridCol w:w="1185"/>
      </w:tblGrid>
      <w:tr>
        <w:tblPrEx>
          <w:tblCellMar>
            <w:top w:w="0" w:type="dxa"/>
            <w:left w:w="108" w:type="dxa"/>
            <w:bottom w:w="0" w:type="dxa"/>
            <w:right w:w="108" w:type="dxa"/>
          </w:tblCellMar>
        </w:tblPrEx>
        <w:trPr>
          <w:trHeight w:val="446" w:hRule="atLeast"/>
          <w:jc w:val="center"/>
        </w:trPr>
        <w:tc>
          <w:tcPr>
            <w:tcW w:w="8713" w:type="dxa"/>
            <w:gridSpan w:val="6"/>
            <w:tcBorders>
              <w:top w:val="double" w:color="000000" w:sz="6" w:space="0"/>
              <w:left w:val="double" w:color="auto" w:sz="6" w:space="0"/>
              <w:bottom w:val="single" w:color="auto" w:sz="4" w:space="0"/>
              <w:right w:val="double" w:color="000000" w:sz="6" w:space="0"/>
            </w:tcBorders>
            <w:shd w:val="clear" w:color="000000" w:fill="E0E0E0"/>
            <w:vAlign w:val="center"/>
          </w:tcPr>
          <w:p>
            <w:pPr>
              <w:jc w:val="left"/>
              <w:rPr>
                <w:rFonts w:ascii="宋体" w:hAnsi="宋体" w:cs="宋体"/>
                <w:bCs/>
                <w:color w:val="000000"/>
              </w:rPr>
            </w:pPr>
            <w:r>
              <w:rPr>
                <w:rFonts w:hint="eastAsia" w:ascii="宋体" w:hAnsi="宋体" w:cs="宋体"/>
                <w:bCs/>
                <w:color w:val="000000"/>
              </w:rPr>
              <w:t>检查目的：从外观、环境、来判断各设备的运行情况是否正常</w:t>
            </w:r>
          </w:p>
        </w:tc>
      </w:tr>
      <w:tr>
        <w:tblPrEx>
          <w:tblCellMar>
            <w:top w:w="0" w:type="dxa"/>
            <w:left w:w="108" w:type="dxa"/>
            <w:bottom w:w="0" w:type="dxa"/>
            <w:right w:w="108" w:type="dxa"/>
          </w:tblCellMar>
        </w:tblPrEx>
        <w:trPr>
          <w:trHeight w:val="446" w:hRule="atLeast"/>
          <w:jc w:val="center"/>
        </w:trPr>
        <w:tc>
          <w:tcPr>
            <w:tcW w:w="8713" w:type="dxa"/>
            <w:gridSpan w:val="6"/>
            <w:tcBorders>
              <w:top w:val="single" w:color="auto" w:sz="8" w:space="0"/>
              <w:left w:val="double" w:color="auto" w:sz="6" w:space="0"/>
              <w:bottom w:val="single" w:color="auto" w:sz="4" w:space="0"/>
              <w:right w:val="double" w:color="000000" w:sz="6" w:space="0"/>
            </w:tcBorders>
            <w:shd w:val="clear" w:color="000000" w:fill="E0E0E0"/>
            <w:vAlign w:val="center"/>
          </w:tcPr>
          <w:p>
            <w:pPr>
              <w:jc w:val="left"/>
              <w:rPr>
                <w:rFonts w:ascii="宋体" w:hAnsi="宋体" w:cs="宋体"/>
                <w:bCs/>
                <w:color w:val="000000"/>
              </w:rPr>
            </w:pPr>
            <w:r>
              <w:rPr>
                <w:rFonts w:hint="eastAsia" w:ascii="宋体" w:hAnsi="宋体" w:cs="宋体"/>
                <w:bCs/>
                <w:color w:val="000000"/>
              </w:rPr>
              <w:t>检查</w:t>
            </w:r>
            <w:r>
              <w:rPr>
                <w:rFonts w:ascii="宋体" w:hAnsi="宋体" w:cs="宋体"/>
                <w:bCs/>
                <w:color w:val="000000"/>
              </w:rPr>
              <w:t>方式：</w:t>
            </w:r>
            <w:r>
              <w:rPr>
                <w:rFonts w:hint="eastAsia" w:ascii="宋体" w:hAnsi="宋体" w:cs="宋体"/>
                <w:bCs/>
                <w:color w:val="000000"/>
              </w:rPr>
              <w:t>现</w:t>
            </w:r>
            <w:r>
              <w:rPr>
                <w:rFonts w:ascii="宋体" w:hAnsi="宋体" w:cs="宋体"/>
                <w:bCs/>
                <w:color w:val="000000"/>
              </w:rPr>
              <w:t>场</w:t>
            </w:r>
            <w:r>
              <w:rPr>
                <w:rFonts w:hint="eastAsia" w:ascii="宋体" w:hAnsi="宋体" w:cs="宋体"/>
                <w:bCs/>
                <w:color w:val="000000"/>
              </w:rPr>
              <w:t>巡</w:t>
            </w:r>
            <w:r>
              <w:rPr>
                <w:rFonts w:ascii="宋体" w:hAnsi="宋体" w:cs="宋体"/>
                <w:bCs/>
                <w:color w:val="000000"/>
              </w:rPr>
              <w:t>检</w:t>
            </w:r>
          </w:p>
        </w:tc>
      </w:tr>
      <w:tr>
        <w:tblPrEx>
          <w:tblCellMar>
            <w:top w:w="0" w:type="dxa"/>
            <w:left w:w="108" w:type="dxa"/>
            <w:bottom w:w="0" w:type="dxa"/>
            <w:right w:w="108" w:type="dxa"/>
          </w:tblCellMar>
        </w:tblPrEx>
        <w:trPr>
          <w:trHeight w:val="433" w:hRule="atLeast"/>
          <w:jc w:val="center"/>
        </w:trPr>
        <w:tc>
          <w:tcPr>
            <w:tcW w:w="1578" w:type="dxa"/>
            <w:tcBorders>
              <w:top w:val="nil"/>
              <w:left w:val="double" w:color="auto" w:sz="6" w:space="0"/>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检查内容</w:t>
            </w:r>
          </w:p>
        </w:tc>
        <w:tc>
          <w:tcPr>
            <w:tcW w:w="2466" w:type="dxa"/>
            <w:tcBorders>
              <w:top w:val="nil"/>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参考事项</w:t>
            </w:r>
          </w:p>
        </w:tc>
        <w:tc>
          <w:tcPr>
            <w:tcW w:w="2029"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检查结果</w:t>
            </w:r>
          </w:p>
        </w:tc>
        <w:tc>
          <w:tcPr>
            <w:tcW w:w="1455"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正常范围标记</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bCs/>
                <w:color w:val="000000"/>
              </w:rPr>
            </w:pPr>
            <w:r>
              <w:rPr>
                <w:rFonts w:hint="eastAsia" w:ascii="宋体" w:hAnsi="宋体" w:cs="宋体"/>
                <w:bCs/>
                <w:color w:val="000000"/>
              </w:rPr>
              <w:t>现场检测指标</w:t>
            </w:r>
          </w:p>
        </w:tc>
      </w:tr>
      <w:tr>
        <w:tblPrEx>
          <w:tblCellMar>
            <w:top w:w="0" w:type="dxa"/>
            <w:left w:w="108" w:type="dxa"/>
            <w:bottom w:w="0" w:type="dxa"/>
            <w:right w:w="108" w:type="dxa"/>
          </w:tblCellMar>
        </w:tblPrEx>
        <w:trPr>
          <w:trHeight w:val="568"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机柜或者服务器上的防尘网</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观察机柜以及机器上的防尘网上的灰尘</w:t>
            </w:r>
          </w:p>
        </w:tc>
        <w:tc>
          <w:tcPr>
            <w:tcW w:w="1036" w:type="dxa"/>
            <w:tcBorders>
              <w:top w:val="nil"/>
              <w:left w:val="nil"/>
              <w:bottom w:val="single" w:color="auto" w:sz="4" w:space="0"/>
              <w:right w:val="single" w:color="auto" w:sz="4" w:space="0"/>
            </w:tcBorders>
            <w:vAlign w:val="center"/>
          </w:tcPr>
          <w:p>
            <w:pPr>
              <w:rPr>
                <w:rFonts w:ascii="宋体" w:hAnsi="宋体" w:cs="宋体"/>
                <w:color w:val="000000"/>
              </w:rPr>
            </w:pPr>
            <w:r>
              <w:rPr>
                <w:rFonts w:ascii="Wingdings" w:hAnsi="Wingdings" w:cs="宋体"/>
                <w:color w:val="000000"/>
              </w:rPr>
              <w:sym w:font="Wingdings" w:char="00A8"/>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口</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用纸巾试擦，存在灰尘。</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14"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系统风扇运转检查</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观察并用手感觉进风和出风是否正常</w:t>
            </w:r>
          </w:p>
        </w:tc>
        <w:tc>
          <w:tcPr>
            <w:tcW w:w="103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有热风吹出，风力强。</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46"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系统运装噪音检查</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仔细听系统运转声音</w:t>
            </w:r>
          </w:p>
        </w:tc>
        <w:tc>
          <w:tcPr>
            <w:tcW w:w="103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口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风扇、电源运行频率一致</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609"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系统电源指示灯检查</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观察液晶面板、电源指示灯、硬盘报警灯等显示</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口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绿灯显示</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82"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服务器硬盘工作状态</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硬盘指示灯指示是否正常，一般绿色为正常</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绿灯闪烁</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55"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服务器散热检测</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靠近服务器检查是否有热风吹出</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机身温度不会烫手，出热风</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28"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服务器机房温度</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机房的温度是否异常变动，温度数值多少</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22-26</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55"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服务器机房湿度</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机房的湿度是否异常变动，湿度计数值多少</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cs="Arial"/>
                <w:color w:val="000000"/>
              </w:rPr>
            </w:pPr>
            <w:r>
              <w:rPr>
                <w:rFonts w:cs="Arial"/>
                <w:color w:val="000000"/>
              </w:rPr>
              <w:t>45%</w:t>
            </w:r>
            <w:r>
              <w:rPr>
                <w:rFonts w:hint="eastAsia" w:ascii="宋体" w:hAnsi="宋体" w:cs="Arial"/>
                <w:color w:val="000000"/>
              </w:rPr>
              <w:t>～</w:t>
            </w:r>
            <w:r>
              <w:rPr>
                <w:rFonts w:cs="Arial"/>
                <w:color w:val="000000"/>
              </w:rPr>
              <w:t>50%</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55" w:hRule="atLeast"/>
          <w:jc w:val="center"/>
        </w:trPr>
        <w:tc>
          <w:tcPr>
            <w:tcW w:w="1578" w:type="dxa"/>
            <w:tcBorders>
              <w:top w:val="nil"/>
              <w:left w:val="double" w:color="auto" w:sz="6"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服务器机房静电防护</w:t>
            </w:r>
          </w:p>
        </w:tc>
        <w:tc>
          <w:tcPr>
            <w:tcW w:w="2466"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防静电地板是否损坏，防静电设备是否正常</w:t>
            </w:r>
          </w:p>
        </w:tc>
        <w:tc>
          <w:tcPr>
            <w:tcW w:w="1036"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single" w:color="auto" w:sz="4"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看参考事项</w:t>
            </w:r>
          </w:p>
        </w:tc>
        <w:tc>
          <w:tcPr>
            <w:tcW w:w="1185" w:type="dxa"/>
            <w:tcBorders>
              <w:top w:val="single" w:color="auto" w:sz="4" w:space="0"/>
              <w:left w:val="nil"/>
              <w:bottom w:val="single" w:color="auto" w:sz="4" w:space="0"/>
              <w:right w:val="double" w:color="000000"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41" w:hRule="atLeast"/>
          <w:jc w:val="center"/>
        </w:trPr>
        <w:tc>
          <w:tcPr>
            <w:tcW w:w="1578" w:type="dxa"/>
            <w:tcBorders>
              <w:top w:val="nil"/>
              <w:left w:val="double" w:color="auto" w:sz="6" w:space="0"/>
              <w:bottom w:val="double" w:color="000000" w:sz="6" w:space="0"/>
              <w:right w:val="single" w:color="auto" w:sz="4" w:space="0"/>
            </w:tcBorders>
            <w:vAlign w:val="center"/>
          </w:tcPr>
          <w:p>
            <w:pPr>
              <w:rPr>
                <w:rFonts w:ascii="宋体" w:hAnsi="宋体" w:cs="宋体"/>
                <w:color w:val="000000"/>
              </w:rPr>
            </w:pPr>
            <w:r>
              <w:rPr>
                <w:rFonts w:hint="eastAsia" w:ascii="宋体" w:hAnsi="宋体" w:cs="宋体"/>
                <w:color w:val="000000"/>
              </w:rPr>
              <w:t>服务器标签检查</w:t>
            </w:r>
          </w:p>
        </w:tc>
        <w:tc>
          <w:tcPr>
            <w:tcW w:w="2466" w:type="dxa"/>
            <w:tcBorders>
              <w:top w:val="nil"/>
              <w:left w:val="nil"/>
              <w:bottom w:val="double" w:color="000000" w:sz="6" w:space="0"/>
              <w:right w:val="single" w:color="auto" w:sz="4" w:space="0"/>
            </w:tcBorders>
            <w:vAlign w:val="center"/>
          </w:tcPr>
          <w:p>
            <w:pPr>
              <w:rPr>
                <w:rFonts w:ascii="宋体" w:hAnsi="宋体" w:cs="宋体"/>
                <w:color w:val="000000"/>
              </w:rPr>
            </w:pPr>
            <w:r>
              <w:rPr>
                <w:rFonts w:hint="eastAsia" w:ascii="宋体" w:hAnsi="宋体" w:cs="宋体"/>
                <w:color w:val="000000"/>
              </w:rPr>
              <w:t>标签是否松动、脱落，字体是否模糊不清</w:t>
            </w:r>
          </w:p>
        </w:tc>
        <w:tc>
          <w:tcPr>
            <w:tcW w:w="1036" w:type="dxa"/>
            <w:tcBorders>
              <w:top w:val="nil"/>
              <w:left w:val="nil"/>
              <w:bottom w:val="double" w:color="000000" w:sz="6" w:space="0"/>
              <w:right w:val="single" w:color="auto" w:sz="4" w:space="0"/>
            </w:tcBorders>
            <w:vAlign w:val="center"/>
          </w:tcPr>
          <w:p>
            <w:pPr>
              <w:jc w:val="left"/>
              <w:rPr>
                <w:rFonts w:ascii="宋体" w:hAnsi="宋体" w:cs="宋体"/>
                <w:color w:val="000000"/>
              </w:rPr>
            </w:pPr>
            <w:r>
              <w:rPr>
                <w:rFonts w:hint="eastAsia" w:ascii="宋体"/>
                <w:shd w:val="pct10" w:color="auto" w:fill="FFFFFF"/>
              </w:rPr>
              <w:t>口</w:t>
            </w:r>
            <w:r>
              <w:rPr>
                <w:rFonts w:hint="eastAsia" w:ascii="宋体" w:hAnsi="宋体" w:cs="宋体"/>
                <w:color w:val="000000"/>
              </w:rPr>
              <w:t xml:space="preserve"> 正常</w:t>
            </w:r>
          </w:p>
        </w:tc>
        <w:tc>
          <w:tcPr>
            <w:tcW w:w="993" w:type="dxa"/>
            <w:tcBorders>
              <w:top w:val="nil"/>
              <w:left w:val="nil"/>
              <w:bottom w:val="double" w:color="000000" w:sz="6" w:space="0"/>
              <w:right w:val="single" w:color="auto" w:sz="4" w:space="0"/>
            </w:tcBorders>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455" w:type="dxa"/>
            <w:tcBorders>
              <w:top w:val="single" w:color="auto" w:sz="4" w:space="0"/>
              <w:left w:val="nil"/>
              <w:bottom w:val="double" w:color="000000" w:sz="6" w:space="0"/>
              <w:right w:val="single" w:color="auto" w:sz="4" w:space="0"/>
            </w:tcBorders>
            <w:vAlign w:val="center"/>
          </w:tcPr>
          <w:p>
            <w:pPr>
              <w:jc w:val="left"/>
              <w:rPr>
                <w:rFonts w:ascii="宋体" w:hAnsi="宋体" w:cs="宋体"/>
                <w:color w:val="000000"/>
              </w:rPr>
            </w:pPr>
            <w:r>
              <w:rPr>
                <w:rFonts w:hint="eastAsia" w:ascii="宋体" w:hAnsi="宋体" w:cs="宋体"/>
                <w:color w:val="000000"/>
              </w:rPr>
              <w:t>看参考事项</w:t>
            </w:r>
          </w:p>
        </w:tc>
        <w:tc>
          <w:tcPr>
            <w:tcW w:w="1185" w:type="dxa"/>
            <w:tcBorders>
              <w:top w:val="single" w:color="auto" w:sz="4" w:space="0"/>
              <w:left w:val="nil"/>
              <w:bottom w:val="double" w:color="000000" w:sz="6" w:space="0"/>
              <w:right w:val="double" w:color="000000" w:sz="6" w:space="0"/>
            </w:tcBorders>
            <w:vAlign w:val="center"/>
          </w:tcPr>
          <w:p>
            <w:pPr>
              <w:jc w:val="center"/>
              <w:rPr>
                <w:rFonts w:ascii="宋体" w:hAnsi="宋体" w:cs="宋体"/>
                <w:color w:val="000000"/>
              </w:rPr>
            </w:pPr>
          </w:p>
        </w:tc>
      </w:tr>
    </w:tbl>
    <w:p>
      <w:pPr>
        <w:widowControl/>
      </w:pPr>
    </w:p>
    <w:p>
      <w:pPr>
        <w:widowControl/>
      </w:pPr>
    </w:p>
    <w:tbl>
      <w:tblPr>
        <w:tblStyle w:val="29"/>
        <w:tblW w:w="8665" w:type="dxa"/>
        <w:jc w:val="center"/>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Layout w:type="fixed"/>
        <w:tblCellMar>
          <w:top w:w="0" w:type="dxa"/>
          <w:left w:w="108" w:type="dxa"/>
          <w:bottom w:w="0" w:type="dxa"/>
          <w:right w:w="108" w:type="dxa"/>
        </w:tblCellMar>
      </w:tblPr>
      <w:tblGrid>
        <w:gridCol w:w="1689"/>
        <w:gridCol w:w="2774"/>
        <w:gridCol w:w="1254"/>
        <w:gridCol w:w="2948"/>
      </w:tblGrid>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665" w:type="dxa"/>
            <w:gridSpan w:val="4"/>
            <w:tcBorders>
              <w:top w:val="double" w:color="auto" w:sz="4" w:space="0"/>
              <w:left w:val="double" w:color="auto" w:sz="4" w:space="0"/>
              <w:bottom w:val="single" w:color="auto" w:sz="8" w:space="0"/>
              <w:right w:val="double" w:color="auto" w:sz="4" w:space="0"/>
            </w:tcBorders>
            <w:shd w:val="clear" w:color="auto" w:fill="E0E0E0"/>
            <w:vAlign w:val="center"/>
          </w:tcPr>
          <w:p>
            <w:pPr>
              <w:spacing w:before="20" w:after="20"/>
              <w:jc w:val="center"/>
              <w:rPr>
                <w:rFonts w:ascii="宋体"/>
                <w:szCs w:val="21"/>
              </w:rPr>
            </w:pPr>
            <w:r>
              <w:rPr>
                <w:rFonts w:hint="eastAsia" w:ascii="宋体"/>
                <w:szCs w:val="21"/>
              </w:rPr>
              <w:t>服务器常规检查</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vAlign w:val="center"/>
          </w:tcPr>
          <w:p>
            <w:pPr>
              <w:spacing w:before="20" w:after="20"/>
              <w:rPr>
                <w:rFonts w:ascii="宋体"/>
              </w:rPr>
            </w:pPr>
            <w:r>
              <w:rPr>
                <w:rFonts w:hint="eastAsia" w:ascii="宋体"/>
              </w:rPr>
              <w:t>检查内容</w:t>
            </w:r>
          </w:p>
        </w:tc>
        <w:tc>
          <w:tcPr>
            <w:tcW w:w="2774" w:type="dxa"/>
            <w:tcBorders>
              <w:top w:val="single" w:color="auto" w:sz="8" w:space="0"/>
              <w:left w:val="single" w:color="auto" w:sz="8" w:space="0"/>
              <w:bottom w:val="single" w:color="auto" w:sz="8" w:space="0"/>
              <w:right w:val="single" w:color="auto" w:sz="8" w:space="0"/>
            </w:tcBorders>
            <w:vAlign w:val="center"/>
          </w:tcPr>
          <w:p>
            <w:pPr>
              <w:spacing w:before="20" w:after="20"/>
              <w:rPr>
                <w:rFonts w:ascii="宋体"/>
              </w:rPr>
            </w:pPr>
            <w:r>
              <w:rPr>
                <w:rFonts w:hint="eastAsia" w:ascii="宋体"/>
              </w:rPr>
              <w:t>参考事项</w:t>
            </w:r>
          </w:p>
        </w:tc>
        <w:tc>
          <w:tcPr>
            <w:tcW w:w="4202" w:type="dxa"/>
            <w:gridSpan w:val="2"/>
            <w:tcBorders>
              <w:top w:val="single" w:color="auto" w:sz="8" w:space="0"/>
              <w:left w:val="single" w:color="auto" w:sz="8" w:space="0"/>
              <w:bottom w:val="single" w:color="auto" w:sz="8" w:space="0"/>
              <w:right w:val="double" w:color="auto" w:sz="4" w:space="0"/>
            </w:tcBorders>
            <w:vAlign w:val="center"/>
          </w:tcPr>
          <w:p>
            <w:pPr>
              <w:spacing w:before="20" w:after="20"/>
              <w:ind w:firstLine="1155" w:firstLineChars="550"/>
              <w:rPr>
                <w:rFonts w:ascii="宋体"/>
              </w:rPr>
            </w:pPr>
            <w:r>
              <w:rPr>
                <w:rFonts w:hint="eastAsia" w:ascii="宋体"/>
              </w:rPr>
              <w:t>检查结果</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689" w:type="dxa"/>
            <w:vMerge w:val="restart"/>
            <w:tcBorders>
              <w:top w:val="single" w:color="auto" w:sz="8" w:space="0"/>
              <w:left w:val="double" w:color="auto" w:sz="4" w:space="0"/>
              <w:right w:val="single" w:color="auto" w:sz="8" w:space="0"/>
            </w:tcBorders>
            <w:shd w:val="clear" w:color="auto" w:fill="auto"/>
            <w:vAlign w:val="center"/>
          </w:tcPr>
          <w:p>
            <w:pPr>
              <w:spacing w:before="20" w:after="20"/>
              <w:rPr>
                <w:rFonts w:ascii="宋体"/>
              </w:rPr>
            </w:pPr>
            <w:r>
              <w:rPr>
                <w:rFonts w:hint="eastAsia" w:ascii="宋体"/>
              </w:rPr>
              <w:t>警告日志</w:t>
            </w:r>
          </w:p>
        </w:tc>
        <w:tc>
          <w:tcPr>
            <w:tcW w:w="2774" w:type="dxa"/>
            <w:vMerge w:val="restart"/>
            <w:tcBorders>
              <w:top w:val="single" w:color="auto" w:sz="8" w:space="0"/>
              <w:left w:val="single" w:color="auto" w:sz="8" w:space="0"/>
              <w:right w:val="single" w:color="auto" w:sz="8" w:space="0"/>
            </w:tcBorders>
            <w:shd w:val="clear" w:color="auto" w:fill="auto"/>
            <w:vAlign w:val="center"/>
          </w:tcPr>
          <w:p>
            <w:pPr>
              <w:spacing w:before="20" w:after="20"/>
              <w:rPr>
                <w:rFonts w:ascii="宋体"/>
              </w:rPr>
            </w:pPr>
            <w:r>
              <w:rPr>
                <w:rFonts w:hint="eastAsia" w:ascii="宋体"/>
              </w:rPr>
              <w:t>errpt</w:t>
            </w:r>
          </w:p>
        </w:tc>
        <w:tc>
          <w:tcPr>
            <w:tcW w:w="1254" w:type="dxa"/>
            <w:tcBorders>
              <w:top w:val="single" w:color="auto" w:sz="8" w:space="0"/>
              <w:left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150" w:hRule="atLeast"/>
          <w:jc w:val="center"/>
        </w:trPr>
        <w:tc>
          <w:tcPr>
            <w:tcW w:w="1689" w:type="dxa"/>
            <w:vMerge w:val="continue"/>
            <w:tcBorders>
              <w:left w:val="double" w:color="auto" w:sz="4" w:space="0"/>
              <w:right w:val="single" w:color="auto" w:sz="8" w:space="0"/>
            </w:tcBorders>
            <w:shd w:val="clear" w:color="auto" w:fill="auto"/>
            <w:vAlign w:val="center"/>
          </w:tcPr>
          <w:p>
            <w:pPr>
              <w:spacing w:before="20" w:after="20"/>
              <w:rPr>
                <w:rFonts w:ascii="宋体"/>
              </w:rPr>
            </w:pPr>
          </w:p>
        </w:tc>
        <w:tc>
          <w:tcPr>
            <w:tcW w:w="2774" w:type="dxa"/>
            <w:vMerge w:val="continue"/>
            <w:tcBorders>
              <w:left w:val="single" w:color="auto" w:sz="8" w:space="0"/>
              <w:right w:val="single" w:color="auto" w:sz="8" w:space="0"/>
            </w:tcBorders>
            <w:shd w:val="clear" w:color="auto" w:fill="auto"/>
            <w:vAlign w:val="center"/>
          </w:tcPr>
          <w:p>
            <w:pPr>
              <w:spacing w:before="20" w:after="20"/>
              <w:rPr>
                <w:rFonts w:ascii="宋体"/>
              </w:rPr>
            </w:pPr>
          </w:p>
        </w:tc>
        <w:tc>
          <w:tcPr>
            <w:tcW w:w="1254" w:type="dxa"/>
            <w:tcBorders>
              <w:left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left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查看硬盘状态</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 xml:space="preserve">lsdev </w:t>
            </w:r>
            <w:r>
              <w:rPr>
                <w:rFonts w:ascii="宋体"/>
              </w:rPr>
              <w:t>–</w:t>
            </w:r>
            <w:r>
              <w:rPr>
                <w:rFonts w:hint="eastAsia" w:ascii="宋体"/>
              </w:rPr>
              <w:t>Cc disk</w:t>
            </w: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jc w:val="left"/>
            </w:pPr>
            <w:r>
              <w:rPr>
                <w:rFonts w:hint="eastAsia"/>
                <w:shd w:val="pct10" w:color="auto" w:fill="FFFFFF"/>
              </w:rPr>
              <w:t>口</w:t>
            </w:r>
            <w:r>
              <w:rPr>
                <w:rFonts w:hint="eastAsia"/>
              </w:rPr>
              <w:t xml:space="preserve"> 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各卡的状态</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lang w:val="da-DK"/>
              </w:rPr>
            </w:pPr>
            <w:r>
              <w:rPr>
                <w:rFonts w:hint="eastAsia" w:ascii="宋体"/>
              </w:rPr>
              <w:t xml:space="preserve">lsdev </w:t>
            </w:r>
            <w:r>
              <w:rPr>
                <w:rFonts w:ascii="宋体"/>
              </w:rPr>
              <w:t>–</w:t>
            </w:r>
            <w:r>
              <w:rPr>
                <w:rFonts w:hint="eastAsia" w:ascii="宋体"/>
              </w:rPr>
              <w:t>Cc adapter</w:t>
            </w: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before="20" w:after="20"/>
              <w:jc w:val="left"/>
              <w:rPr>
                <w:rFonts w:ascii="宋体"/>
              </w:rPr>
            </w:pPr>
            <w:r>
              <w:rPr>
                <w:rFonts w:hint="eastAsia" w:ascii="宋体"/>
                <w:shd w:val="pct10" w:color="auto" w:fill="FFFFFF"/>
              </w:rPr>
              <w:t>口</w:t>
            </w:r>
            <w:r>
              <w:rPr>
                <w:rFonts w:hint="eastAsia" w:ascii="宋体"/>
              </w:rPr>
              <w:t xml:space="preserve">  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硬盘使用情况</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 xml:space="preserve">df </w:t>
            </w:r>
            <w:r>
              <w:rPr>
                <w:rFonts w:ascii="宋体"/>
              </w:rPr>
              <w:t>–</w:t>
            </w:r>
            <w:r>
              <w:rPr>
                <w:rFonts w:hint="eastAsia" w:ascii="宋体"/>
              </w:rPr>
              <w:t xml:space="preserve">g </w:t>
            </w: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查看CPU状态</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 xml:space="preserve">lsdev </w:t>
            </w:r>
            <w:r>
              <w:rPr>
                <w:rFonts w:ascii="宋体"/>
              </w:rPr>
              <w:t>–</w:t>
            </w:r>
            <w:r>
              <w:rPr>
                <w:rFonts w:hint="eastAsia" w:ascii="宋体"/>
              </w:rPr>
              <w:t>Cc processor</w:t>
            </w: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before="20" w:after="20"/>
              <w:jc w:val="left"/>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硬盘上的数据是否做镜像</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 xml:space="preserve">lsvg </w:t>
            </w:r>
            <w:r>
              <w:rPr>
                <w:rFonts w:ascii="宋体"/>
              </w:rPr>
              <w:t>–</w:t>
            </w:r>
            <w:r>
              <w:rPr>
                <w:rFonts w:hint="eastAsia" w:ascii="宋体"/>
              </w:rPr>
              <w:t>C rootvg</w:t>
            </w: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虚拟内存情况</w:t>
            </w:r>
          </w:p>
        </w:tc>
        <w:tc>
          <w:tcPr>
            <w:tcW w:w="2774" w:type="dxa"/>
            <w:tcBorders>
              <w:top w:val="single" w:color="auto" w:sz="8" w:space="0"/>
              <w:left w:val="single" w:color="auto" w:sz="8" w:space="0"/>
              <w:right w:val="single" w:color="auto" w:sz="8" w:space="0"/>
            </w:tcBorders>
            <w:shd w:val="clear" w:color="auto" w:fill="auto"/>
            <w:vAlign w:val="center"/>
          </w:tcPr>
          <w:p>
            <w:pPr>
              <w:spacing w:before="20" w:after="20"/>
              <w:rPr>
                <w:rFonts w:ascii="宋体"/>
              </w:rPr>
            </w:pPr>
            <w:r>
              <w:rPr>
                <w:rFonts w:hint="eastAsia" w:ascii="宋体"/>
              </w:rPr>
              <w:t>lsps -a</w:t>
            </w:r>
          </w:p>
        </w:tc>
        <w:tc>
          <w:tcPr>
            <w:tcW w:w="1254" w:type="dxa"/>
            <w:tcBorders>
              <w:top w:val="single" w:color="auto" w:sz="8" w:space="0"/>
              <w:left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shd w:val="clear" w:color="auto" w:fill="auto"/>
            <w:vAlign w:val="center"/>
          </w:tcPr>
          <w:p>
            <w:pPr>
              <w:spacing w:before="20" w:after="20"/>
              <w:rPr>
                <w:rFonts w:ascii="宋体"/>
              </w:rPr>
            </w:pPr>
            <w:r>
              <w:rPr>
                <w:rFonts w:hint="eastAsia" w:ascii="宋体"/>
              </w:rPr>
              <w:t>查看机房环境</w:t>
            </w:r>
          </w:p>
        </w:tc>
        <w:tc>
          <w:tcPr>
            <w:tcW w:w="2774" w:type="dxa"/>
            <w:tcBorders>
              <w:top w:val="single" w:color="auto" w:sz="8" w:space="0"/>
              <w:left w:val="single" w:color="auto" w:sz="8" w:space="0"/>
              <w:bottom w:val="single" w:color="auto" w:sz="8" w:space="0"/>
              <w:right w:val="single" w:color="auto" w:sz="8" w:space="0"/>
            </w:tcBorders>
            <w:shd w:val="clear" w:color="auto" w:fill="auto"/>
            <w:vAlign w:val="center"/>
          </w:tcPr>
          <w:p>
            <w:pPr>
              <w:spacing w:before="20" w:after="20"/>
              <w:rPr>
                <w:rFonts w:ascii="宋体"/>
              </w:rPr>
            </w:pPr>
          </w:p>
        </w:tc>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8" w:space="0"/>
              <w:left w:val="single" w:color="auto" w:sz="8" w:space="0"/>
              <w:bottom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665" w:type="dxa"/>
            <w:gridSpan w:val="4"/>
            <w:tcBorders>
              <w:top w:val="single" w:color="auto" w:sz="8" w:space="0"/>
              <w:left w:val="double" w:color="auto" w:sz="4" w:space="0"/>
              <w:bottom w:val="single" w:color="auto" w:sz="8" w:space="0"/>
              <w:right w:val="double" w:color="auto" w:sz="4" w:space="0"/>
            </w:tcBorders>
            <w:shd w:val="clear" w:color="auto" w:fill="D9D9D9"/>
            <w:vAlign w:val="center"/>
          </w:tcPr>
          <w:p>
            <w:pPr>
              <w:spacing w:before="20" w:after="20"/>
              <w:jc w:val="center"/>
              <w:rPr>
                <w:rFonts w:ascii="宋体"/>
              </w:rPr>
            </w:pPr>
            <w:r>
              <w:rPr>
                <w:rFonts w:hint="eastAsia" w:ascii="宋体"/>
                <w:szCs w:val="21"/>
              </w:rPr>
              <w:t>服务器其他检查</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9" w:type="dxa"/>
            <w:tcBorders>
              <w:top w:val="single" w:color="auto" w:sz="8" w:space="0"/>
              <w:left w:val="double" w:color="auto" w:sz="4" w:space="0"/>
              <w:bottom w:val="single" w:color="auto" w:sz="8" w:space="0"/>
              <w:right w:val="single" w:color="auto" w:sz="8" w:space="0"/>
            </w:tcBorders>
            <w:vAlign w:val="center"/>
          </w:tcPr>
          <w:p>
            <w:pPr>
              <w:spacing w:before="20" w:after="20"/>
              <w:rPr>
                <w:rFonts w:ascii="宋体"/>
              </w:rPr>
            </w:pPr>
            <w:r>
              <w:rPr>
                <w:rFonts w:hint="eastAsia" w:ascii="宋体"/>
              </w:rPr>
              <w:t>检查内容</w:t>
            </w:r>
          </w:p>
        </w:tc>
        <w:tc>
          <w:tcPr>
            <w:tcW w:w="2774" w:type="dxa"/>
            <w:tcBorders>
              <w:top w:val="single" w:color="auto" w:sz="8" w:space="0"/>
              <w:left w:val="single" w:color="auto" w:sz="8" w:space="0"/>
              <w:bottom w:val="single" w:color="auto" w:sz="8" w:space="0"/>
              <w:right w:val="single" w:color="auto" w:sz="8" w:space="0"/>
            </w:tcBorders>
            <w:vAlign w:val="center"/>
          </w:tcPr>
          <w:p>
            <w:pPr>
              <w:spacing w:before="20" w:after="20"/>
              <w:rPr>
                <w:rFonts w:ascii="宋体"/>
              </w:rPr>
            </w:pPr>
            <w:r>
              <w:rPr>
                <w:rFonts w:hint="eastAsia" w:ascii="宋体"/>
              </w:rPr>
              <w:t>参考事项</w:t>
            </w:r>
          </w:p>
        </w:tc>
        <w:tc>
          <w:tcPr>
            <w:tcW w:w="4202" w:type="dxa"/>
            <w:gridSpan w:val="2"/>
            <w:tcBorders>
              <w:top w:val="single" w:color="auto" w:sz="8" w:space="0"/>
              <w:left w:val="single" w:color="auto" w:sz="8" w:space="0"/>
              <w:bottom w:val="single" w:color="auto" w:sz="8" w:space="0"/>
              <w:right w:val="double" w:color="auto" w:sz="4" w:space="0"/>
            </w:tcBorders>
            <w:vAlign w:val="center"/>
          </w:tcPr>
          <w:p>
            <w:pPr>
              <w:spacing w:before="20" w:after="20"/>
              <w:ind w:firstLine="1155" w:firstLineChars="550"/>
              <w:rPr>
                <w:rFonts w:ascii="宋体"/>
              </w:rPr>
            </w:pPr>
            <w:r>
              <w:rPr>
                <w:rFonts w:hint="eastAsia" w:ascii="宋体"/>
              </w:rPr>
              <w:t>检查结果</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1689" w:type="dxa"/>
            <w:tcBorders>
              <w:top w:val="single" w:color="auto" w:sz="4" w:space="0"/>
              <w:left w:val="double" w:color="auto" w:sz="4" w:space="0"/>
              <w:bottom w:val="single" w:color="auto" w:sz="4" w:space="0"/>
              <w:right w:val="single" w:color="auto" w:sz="8" w:space="0"/>
            </w:tcBorders>
            <w:vAlign w:val="center"/>
          </w:tcPr>
          <w:p>
            <w:pPr>
              <w:spacing w:before="20" w:after="20"/>
              <w:rPr>
                <w:rFonts w:ascii="宋体"/>
              </w:rPr>
            </w:pPr>
            <w:r>
              <w:rPr>
                <w:rFonts w:hint="eastAsia" w:ascii="宋体"/>
              </w:rPr>
              <w:t>服务器运行</w:t>
            </w:r>
          </w:p>
        </w:tc>
        <w:tc>
          <w:tcPr>
            <w:tcW w:w="2774" w:type="dxa"/>
            <w:tcBorders>
              <w:top w:val="single" w:color="auto" w:sz="8" w:space="0"/>
              <w:left w:val="single" w:color="auto" w:sz="8" w:space="0"/>
              <w:bottom w:val="single" w:color="auto" w:sz="8" w:space="0"/>
              <w:right w:val="single" w:color="auto" w:sz="8" w:space="0"/>
            </w:tcBorders>
            <w:vAlign w:val="center"/>
          </w:tcPr>
          <w:p>
            <w:pPr>
              <w:spacing w:before="20" w:after="20"/>
              <w:rPr>
                <w:rFonts w:ascii="宋体"/>
              </w:rPr>
            </w:pPr>
          </w:p>
        </w:tc>
        <w:tc>
          <w:tcPr>
            <w:tcW w:w="1254" w:type="dxa"/>
            <w:vMerge w:val="restart"/>
            <w:tcBorders>
              <w:top w:val="single" w:color="auto" w:sz="4" w:space="0"/>
              <w:left w:val="single" w:color="auto" w:sz="8" w:space="0"/>
              <w:right w:val="single" w:color="auto" w:sz="8" w:space="0"/>
            </w:tcBorders>
            <w:vAlign w:val="center"/>
          </w:tcPr>
          <w:p>
            <w:pPr>
              <w:spacing w:before="20" w:after="20"/>
              <w:rPr>
                <w:rFonts w:ascii="宋体"/>
              </w:rPr>
            </w:pPr>
            <w:r>
              <w:rPr>
                <w:rFonts w:hint="eastAsia" w:ascii="宋体"/>
                <w:shd w:val="pct10" w:color="auto" w:fill="FFFFFF"/>
              </w:rPr>
              <w:t>口</w:t>
            </w:r>
            <w:r>
              <w:rPr>
                <w:rFonts w:ascii="宋体"/>
              </w:rPr>
              <w:t xml:space="preserve">  </w:t>
            </w:r>
            <w:r>
              <w:rPr>
                <w:rFonts w:hint="eastAsia" w:ascii="宋体"/>
              </w:rPr>
              <w:t>正常</w:t>
            </w:r>
          </w:p>
        </w:tc>
        <w:tc>
          <w:tcPr>
            <w:tcW w:w="2948" w:type="dxa"/>
            <w:tcBorders>
              <w:top w:val="single" w:color="auto" w:sz="4" w:space="0"/>
              <w:left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689" w:type="dxa"/>
            <w:tcBorders>
              <w:top w:val="single" w:color="auto" w:sz="4" w:space="0"/>
              <w:left w:val="double" w:color="auto" w:sz="4" w:space="0"/>
              <w:bottom w:val="single" w:color="auto" w:sz="4" w:space="0"/>
              <w:right w:val="single" w:color="auto" w:sz="8" w:space="0"/>
            </w:tcBorders>
            <w:vAlign w:val="center"/>
          </w:tcPr>
          <w:p>
            <w:pPr>
              <w:spacing w:before="20" w:after="20"/>
              <w:rPr>
                <w:rFonts w:ascii="宋体"/>
              </w:rPr>
            </w:pPr>
            <w:r>
              <w:rPr>
                <w:rFonts w:hint="eastAsia" w:ascii="宋体"/>
              </w:rPr>
              <w:t>存储运行</w:t>
            </w:r>
          </w:p>
        </w:tc>
        <w:tc>
          <w:tcPr>
            <w:tcW w:w="2774" w:type="dxa"/>
            <w:tcBorders>
              <w:top w:val="single" w:color="auto" w:sz="8" w:space="0"/>
              <w:left w:val="single" w:color="auto" w:sz="8" w:space="0"/>
              <w:bottom w:val="single" w:color="auto" w:sz="8" w:space="0"/>
              <w:right w:val="single" w:color="auto" w:sz="8" w:space="0"/>
            </w:tcBorders>
            <w:vAlign w:val="center"/>
          </w:tcPr>
          <w:p>
            <w:pPr>
              <w:spacing w:before="20" w:after="20"/>
              <w:rPr>
                <w:rFonts w:ascii="宋体"/>
              </w:rPr>
            </w:pPr>
          </w:p>
        </w:tc>
        <w:tc>
          <w:tcPr>
            <w:tcW w:w="1254" w:type="dxa"/>
            <w:vMerge w:val="continue"/>
            <w:tcBorders>
              <w:left w:val="single" w:color="auto" w:sz="8" w:space="0"/>
              <w:right w:val="single" w:color="auto" w:sz="8" w:space="0"/>
            </w:tcBorders>
            <w:vAlign w:val="center"/>
          </w:tcPr>
          <w:p>
            <w:pPr>
              <w:widowControl/>
              <w:numPr>
                <w:ilvl w:val="0"/>
                <w:numId w:val="6"/>
              </w:numPr>
              <w:spacing w:before="20" w:after="20"/>
              <w:jc w:val="left"/>
              <w:rPr>
                <w:rFonts w:ascii="宋体"/>
              </w:rPr>
            </w:pPr>
          </w:p>
        </w:tc>
        <w:tc>
          <w:tcPr>
            <w:tcW w:w="2948" w:type="dxa"/>
            <w:tcBorders>
              <w:left w:val="single" w:color="auto" w:sz="8" w:space="0"/>
              <w:right w:val="double" w:color="auto" w:sz="4" w:space="0"/>
            </w:tcBorders>
            <w:vAlign w:val="center"/>
          </w:tcPr>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p>
            <w:pPr>
              <w:widowControl/>
              <w:numPr>
                <w:ilvl w:val="0"/>
                <w:numId w:val="6"/>
              </w:numPr>
              <w:spacing w:before="20" w:after="20"/>
              <w:jc w:val="left"/>
              <w:rPr>
                <w:rFonts w:ascii="宋体"/>
              </w:rPr>
            </w:pPr>
            <w:r>
              <w:rPr>
                <w:rFonts w:hint="eastAsia" w:ascii="宋体"/>
              </w:rPr>
              <w:t>异常</w:t>
            </w:r>
            <w:r>
              <w:rPr>
                <w:rFonts w:ascii="宋体"/>
              </w:rPr>
              <w:t xml:space="preserve">   </w:t>
            </w:r>
            <w:r>
              <w:rPr>
                <w:rFonts w:hint="eastAsia" w:ascii="宋体"/>
              </w:rPr>
              <w:t>说明</w:t>
            </w:r>
            <w:r>
              <w:rPr>
                <w:rFonts w:ascii="宋体"/>
              </w:rPr>
              <w:t>:</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665" w:type="dxa"/>
            <w:gridSpan w:val="4"/>
            <w:tcBorders>
              <w:top w:val="single" w:color="auto" w:sz="8" w:space="0"/>
              <w:left w:val="double" w:color="auto" w:sz="4" w:space="0"/>
              <w:bottom w:val="single" w:color="auto" w:sz="8" w:space="0"/>
              <w:right w:val="double" w:color="auto" w:sz="4" w:space="0"/>
            </w:tcBorders>
            <w:shd w:val="clear" w:color="auto" w:fill="D9D9D9"/>
            <w:vAlign w:val="center"/>
          </w:tcPr>
          <w:p>
            <w:pPr>
              <w:pStyle w:val="22"/>
              <w:tabs>
                <w:tab w:val="clear" w:pos="4153"/>
                <w:tab w:val="clear" w:pos="8306"/>
              </w:tabs>
              <w:spacing w:before="20" w:after="20"/>
              <w:rPr>
                <w:rFonts w:ascii="宋体"/>
                <w:sz w:val="21"/>
                <w:szCs w:val="21"/>
              </w:rPr>
            </w:pPr>
            <w:r>
              <w:rPr>
                <w:rFonts w:hint="eastAsia" w:ascii="宋体"/>
                <w:sz w:val="21"/>
                <w:szCs w:val="21"/>
              </w:rPr>
              <w:t>此次预防性维护的总结及建议</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1823" w:hRule="atLeast"/>
          <w:jc w:val="center"/>
        </w:trPr>
        <w:tc>
          <w:tcPr>
            <w:tcW w:w="8665" w:type="dxa"/>
            <w:gridSpan w:val="4"/>
            <w:tcBorders>
              <w:top w:val="single" w:color="auto" w:sz="8" w:space="0"/>
              <w:left w:val="double" w:color="auto" w:sz="4" w:space="0"/>
              <w:bottom w:val="single" w:color="auto" w:sz="8" w:space="0"/>
              <w:right w:val="double" w:color="auto" w:sz="4" w:space="0"/>
            </w:tcBorders>
            <w:vAlign w:val="center"/>
          </w:tcPr>
          <w:p>
            <w:pPr>
              <w:pStyle w:val="22"/>
              <w:tabs>
                <w:tab w:val="clear" w:pos="4153"/>
                <w:tab w:val="clear" w:pos="8306"/>
              </w:tabs>
              <w:spacing w:before="20" w:after="20"/>
              <w:rPr>
                <w:rFonts w:ascii="宋体"/>
              </w:rPr>
            </w:pPr>
            <w:r>
              <w:rPr>
                <w:rFonts w:hint="eastAsia" w:ascii="宋体"/>
              </w:rPr>
              <w:t>系统运行正常</w:t>
            </w:r>
            <w:r>
              <w:rPr>
                <w:rFonts w:ascii="宋体"/>
              </w:rPr>
              <w:t xml:space="preserve">    </w:t>
            </w:r>
          </w:p>
        </w:tc>
      </w:tr>
      <w:tr>
        <w:tblPrEx>
          <w:tblBorders>
            <w:top w:val="thinThickLargeGap" w:color="auto" w:sz="12" w:space="0"/>
            <w:left w:val="thinThickLargeGap" w:color="auto" w:sz="12" w:space="0"/>
            <w:bottom w:val="thickThinLargeGap" w:color="auto" w:sz="12" w:space="0"/>
            <w:right w:val="thickThinLargeGap" w:color="auto" w:sz="12"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665" w:type="dxa"/>
            <w:gridSpan w:val="4"/>
            <w:tcBorders>
              <w:top w:val="single" w:color="auto" w:sz="8" w:space="0"/>
              <w:left w:val="double" w:color="auto" w:sz="4" w:space="0"/>
              <w:bottom w:val="double" w:color="auto" w:sz="4" w:space="0"/>
              <w:right w:val="double" w:color="auto" w:sz="4" w:space="0"/>
            </w:tcBorders>
            <w:shd w:val="clear" w:color="auto" w:fill="D9D9D9"/>
            <w:vAlign w:val="center"/>
          </w:tcPr>
          <w:p>
            <w:pPr>
              <w:pStyle w:val="22"/>
              <w:tabs>
                <w:tab w:val="clear" w:pos="4153"/>
                <w:tab w:val="clear" w:pos="8306"/>
              </w:tabs>
              <w:spacing w:before="20" w:after="20"/>
              <w:rPr>
                <w:rFonts w:ascii="宋体"/>
                <w:sz w:val="21"/>
                <w:szCs w:val="21"/>
              </w:rPr>
            </w:pPr>
            <w:r>
              <w:rPr>
                <w:rFonts w:hint="eastAsia" w:ascii="宋体"/>
                <w:sz w:val="21"/>
                <w:szCs w:val="21"/>
              </w:rPr>
              <w:t>客户对预防性维护的意见及建议</w:t>
            </w:r>
          </w:p>
        </w:tc>
      </w:tr>
    </w:tbl>
    <w:p/>
    <w:p/>
    <w:p/>
    <w:p/>
    <w:p/>
    <w:p>
      <w:pPr>
        <w:pStyle w:val="2"/>
      </w:pPr>
    </w:p>
    <w:p/>
    <w:tbl>
      <w:tblPr>
        <w:tblStyle w:val="29"/>
        <w:tblW w:w="8683" w:type="dxa"/>
        <w:jc w:val="center"/>
        <w:tblLayout w:type="autofit"/>
        <w:tblCellMar>
          <w:top w:w="0" w:type="dxa"/>
          <w:left w:w="108" w:type="dxa"/>
          <w:bottom w:w="0" w:type="dxa"/>
          <w:right w:w="108" w:type="dxa"/>
        </w:tblCellMar>
      </w:tblPr>
      <w:tblGrid>
        <w:gridCol w:w="1572"/>
        <w:gridCol w:w="2374"/>
        <w:gridCol w:w="993"/>
        <w:gridCol w:w="992"/>
        <w:gridCol w:w="1559"/>
        <w:gridCol w:w="1193"/>
      </w:tblGrid>
      <w:tr>
        <w:tblPrEx>
          <w:tblCellMar>
            <w:top w:w="0" w:type="dxa"/>
            <w:left w:w="108" w:type="dxa"/>
            <w:bottom w:w="0" w:type="dxa"/>
            <w:right w:w="108" w:type="dxa"/>
          </w:tblCellMar>
        </w:tblPrEx>
        <w:trPr>
          <w:trHeight w:val="459" w:hRule="atLeast"/>
          <w:jc w:val="center"/>
        </w:trPr>
        <w:tc>
          <w:tcPr>
            <w:tcW w:w="8683" w:type="dxa"/>
            <w:gridSpan w:val="6"/>
            <w:tcBorders>
              <w:top w:val="double" w:color="auto" w:sz="6" w:space="0"/>
              <w:left w:val="double" w:color="auto" w:sz="6" w:space="0"/>
              <w:bottom w:val="single" w:color="auto" w:sz="4" w:space="0"/>
              <w:right w:val="double" w:color="auto" w:sz="6" w:space="0"/>
            </w:tcBorders>
            <w:shd w:val="clear" w:color="000000" w:fill="E0E0E0"/>
            <w:vAlign w:val="center"/>
          </w:tcPr>
          <w:p>
            <w:pPr>
              <w:jc w:val="left"/>
              <w:rPr>
                <w:rFonts w:ascii="宋体" w:hAnsi="宋体" w:cs="宋体"/>
                <w:bCs/>
                <w:color w:val="000000"/>
              </w:rPr>
            </w:pPr>
            <w:r>
              <w:rPr>
                <w:rFonts w:hint="eastAsia" w:ascii="宋体" w:hAnsi="宋体" w:cs="宋体"/>
                <w:bCs/>
                <w:color w:val="000000"/>
              </w:rPr>
              <w:t>检查</w:t>
            </w:r>
            <w:r>
              <w:rPr>
                <w:rFonts w:ascii="宋体" w:hAnsi="宋体" w:cs="宋体"/>
                <w:bCs/>
                <w:color w:val="000000"/>
              </w:rPr>
              <w:t>目的：</w:t>
            </w:r>
            <w:r>
              <w:rPr>
                <w:rFonts w:hint="eastAsia" w:ascii="宋体" w:hAnsi="宋体" w:cs="宋体"/>
                <w:bCs/>
                <w:color w:val="000000"/>
              </w:rPr>
              <w:t xml:space="preserve"> </w:t>
            </w:r>
          </w:p>
        </w:tc>
      </w:tr>
      <w:tr>
        <w:tblPrEx>
          <w:tblCellMar>
            <w:top w:w="0" w:type="dxa"/>
            <w:left w:w="108" w:type="dxa"/>
            <w:bottom w:w="0" w:type="dxa"/>
            <w:right w:w="108" w:type="dxa"/>
          </w:tblCellMar>
        </w:tblPrEx>
        <w:trPr>
          <w:trHeight w:val="410" w:hRule="atLeast"/>
          <w:jc w:val="center"/>
        </w:trPr>
        <w:tc>
          <w:tcPr>
            <w:tcW w:w="8683" w:type="dxa"/>
            <w:gridSpan w:val="6"/>
            <w:tcBorders>
              <w:top w:val="single" w:color="auto" w:sz="8" w:space="0"/>
              <w:left w:val="double" w:color="auto" w:sz="6" w:space="0"/>
              <w:bottom w:val="single" w:color="auto" w:sz="4" w:space="0"/>
              <w:right w:val="double" w:color="auto" w:sz="6" w:space="0"/>
            </w:tcBorders>
            <w:shd w:val="clear" w:color="000000" w:fill="E0E0E0"/>
            <w:vAlign w:val="center"/>
          </w:tcPr>
          <w:p>
            <w:pPr>
              <w:jc w:val="left"/>
              <w:rPr>
                <w:rFonts w:ascii="宋体" w:hAnsi="宋体" w:cs="宋体"/>
                <w:bCs/>
                <w:color w:val="000000"/>
              </w:rPr>
            </w:pPr>
            <w:r>
              <w:rPr>
                <w:rFonts w:hint="eastAsia" w:ascii="宋体" w:hAnsi="宋体" w:cs="宋体"/>
                <w:bCs/>
                <w:color w:val="000000"/>
              </w:rPr>
              <w:t>检查</w:t>
            </w:r>
            <w:r>
              <w:rPr>
                <w:rFonts w:ascii="宋体" w:hAnsi="宋体" w:cs="宋体"/>
                <w:bCs/>
                <w:color w:val="000000"/>
              </w:rPr>
              <w:t>方式：现场巡检</w:t>
            </w:r>
          </w:p>
        </w:tc>
      </w:tr>
      <w:tr>
        <w:tblPrEx>
          <w:tblCellMar>
            <w:top w:w="0" w:type="dxa"/>
            <w:left w:w="108" w:type="dxa"/>
            <w:bottom w:w="0" w:type="dxa"/>
            <w:right w:w="108" w:type="dxa"/>
          </w:tblCellMar>
        </w:tblPrEx>
        <w:trPr>
          <w:trHeight w:val="486" w:hRule="atLeast"/>
          <w:jc w:val="center"/>
        </w:trPr>
        <w:tc>
          <w:tcPr>
            <w:tcW w:w="1572" w:type="dxa"/>
            <w:tcBorders>
              <w:top w:val="nil"/>
              <w:left w:val="double" w:color="auto" w:sz="6" w:space="0"/>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检查内容</w:t>
            </w:r>
          </w:p>
        </w:tc>
        <w:tc>
          <w:tcPr>
            <w:tcW w:w="2374" w:type="dxa"/>
            <w:tcBorders>
              <w:top w:val="nil"/>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参考事项</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检查结果</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正常范围标记</w:t>
            </w:r>
          </w:p>
        </w:tc>
        <w:tc>
          <w:tcPr>
            <w:tcW w:w="1193" w:type="dxa"/>
            <w:tcBorders>
              <w:top w:val="nil"/>
              <w:left w:val="nil"/>
              <w:bottom w:val="single" w:color="auto" w:sz="4" w:space="0"/>
              <w:right w:val="double" w:color="auto" w:sz="6" w:space="0"/>
            </w:tcBorders>
            <w:vAlign w:val="center"/>
          </w:tcPr>
          <w:p>
            <w:pPr>
              <w:jc w:val="center"/>
              <w:rPr>
                <w:rFonts w:ascii="宋体" w:hAnsi="宋体" w:cs="宋体"/>
                <w:bCs/>
                <w:color w:val="000000"/>
              </w:rPr>
            </w:pPr>
            <w:r>
              <w:rPr>
                <w:rFonts w:hint="eastAsia" w:ascii="宋体" w:hAnsi="宋体" w:cs="宋体"/>
                <w:bCs/>
                <w:color w:val="000000"/>
              </w:rPr>
              <w:t>现场检测指标</w:t>
            </w:r>
          </w:p>
        </w:tc>
      </w:tr>
      <w:tr>
        <w:tblPrEx>
          <w:tblCellMar>
            <w:top w:w="0" w:type="dxa"/>
            <w:left w:w="108" w:type="dxa"/>
            <w:bottom w:w="0" w:type="dxa"/>
            <w:right w:w="108" w:type="dxa"/>
          </w:tblCellMar>
        </w:tblPrEx>
        <w:trPr>
          <w:trHeight w:val="973" w:hRule="atLeast"/>
          <w:jc w:val="center"/>
        </w:trPr>
        <w:tc>
          <w:tcPr>
            <w:tcW w:w="1572" w:type="dxa"/>
            <w:tcBorders>
              <w:top w:val="nil"/>
              <w:left w:val="double" w:color="auto" w:sz="6"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操作系统版本检查</w:t>
            </w:r>
          </w:p>
        </w:tc>
        <w:tc>
          <w:tcPr>
            <w:tcW w:w="2374"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查看当前服务器所使用的操作系统版本</w:t>
            </w:r>
          </w:p>
        </w:tc>
        <w:tc>
          <w:tcPr>
            <w:tcW w:w="993" w:type="dxa"/>
            <w:tcBorders>
              <w:top w:val="nil"/>
              <w:left w:val="nil"/>
              <w:bottom w:val="single" w:color="auto" w:sz="4"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single" w:color="auto" w:sz="4"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查看补丁安装是否达到顾客要求</w:t>
            </w:r>
          </w:p>
        </w:tc>
        <w:tc>
          <w:tcPr>
            <w:tcW w:w="1193" w:type="dxa"/>
            <w:tcBorders>
              <w:top w:val="single" w:color="auto" w:sz="4" w:space="0"/>
              <w:left w:val="nil"/>
              <w:bottom w:val="single" w:color="auto" w:sz="4" w:space="0"/>
              <w:right w:val="double" w:color="auto"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01" w:hRule="atLeast"/>
          <w:jc w:val="center"/>
        </w:trPr>
        <w:tc>
          <w:tcPr>
            <w:tcW w:w="1572" w:type="dxa"/>
            <w:tcBorders>
              <w:top w:val="nil"/>
              <w:left w:val="double" w:color="auto" w:sz="6"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主机网络配置情况</w:t>
            </w:r>
          </w:p>
        </w:tc>
        <w:tc>
          <w:tcPr>
            <w:tcW w:w="2374"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查看服务器网络地址配置是否合理</w:t>
            </w:r>
          </w:p>
        </w:tc>
        <w:tc>
          <w:tcPr>
            <w:tcW w:w="993" w:type="dxa"/>
            <w:tcBorders>
              <w:top w:val="nil"/>
              <w:left w:val="nil"/>
              <w:bottom w:val="single" w:color="auto" w:sz="4"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single" w:color="auto" w:sz="4"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看参考事项</w:t>
            </w:r>
          </w:p>
        </w:tc>
        <w:tc>
          <w:tcPr>
            <w:tcW w:w="1193" w:type="dxa"/>
            <w:tcBorders>
              <w:top w:val="single" w:color="auto" w:sz="4" w:space="0"/>
              <w:left w:val="nil"/>
              <w:bottom w:val="single" w:color="auto" w:sz="4" w:space="0"/>
              <w:right w:val="double" w:color="auto"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86" w:hRule="atLeast"/>
          <w:jc w:val="center"/>
        </w:trPr>
        <w:tc>
          <w:tcPr>
            <w:tcW w:w="1572" w:type="dxa"/>
            <w:tcBorders>
              <w:top w:val="nil"/>
              <w:left w:val="double" w:color="auto" w:sz="6"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系统账户检查</w:t>
            </w:r>
          </w:p>
        </w:tc>
        <w:tc>
          <w:tcPr>
            <w:tcW w:w="2374"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查看服务器当前开启的账户是否安全暂长期使用</w:t>
            </w:r>
          </w:p>
        </w:tc>
        <w:tc>
          <w:tcPr>
            <w:tcW w:w="993" w:type="dxa"/>
            <w:tcBorders>
              <w:top w:val="nil"/>
              <w:left w:val="nil"/>
              <w:bottom w:val="single" w:color="auto" w:sz="4"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single" w:color="auto" w:sz="4"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密码是否提示过期</w:t>
            </w:r>
          </w:p>
        </w:tc>
        <w:tc>
          <w:tcPr>
            <w:tcW w:w="1193" w:type="dxa"/>
            <w:tcBorders>
              <w:top w:val="single" w:color="auto" w:sz="4" w:space="0"/>
              <w:left w:val="nil"/>
              <w:bottom w:val="single" w:color="auto" w:sz="4" w:space="0"/>
              <w:right w:val="double" w:color="auto" w:sz="6"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716" w:hRule="atLeast"/>
          <w:jc w:val="center"/>
        </w:trPr>
        <w:tc>
          <w:tcPr>
            <w:tcW w:w="1572" w:type="dxa"/>
            <w:tcBorders>
              <w:top w:val="nil"/>
              <w:left w:val="double" w:color="auto" w:sz="6"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内存使用情况</w:t>
            </w:r>
          </w:p>
        </w:tc>
        <w:tc>
          <w:tcPr>
            <w:tcW w:w="2374"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查看服务器当前内存使用情况</w:t>
            </w:r>
          </w:p>
        </w:tc>
        <w:tc>
          <w:tcPr>
            <w:tcW w:w="993" w:type="dxa"/>
            <w:tcBorders>
              <w:top w:val="nil"/>
              <w:left w:val="nil"/>
              <w:bottom w:val="single" w:color="auto" w:sz="4"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single" w:color="auto" w:sz="4"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70%以内</w:t>
            </w:r>
          </w:p>
        </w:tc>
        <w:tc>
          <w:tcPr>
            <w:tcW w:w="1193" w:type="dxa"/>
            <w:tcBorders>
              <w:top w:val="single" w:color="auto" w:sz="4" w:space="0"/>
              <w:left w:val="nil"/>
              <w:bottom w:val="single" w:color="auto" w:sz="4" w:space="0"/>
              <w:right w:val="double" w:color="auto" w:sz="6" w:space="0"/>
            </w:tcBorders>
            <w:vAlign w:val="center"/>
          </w:tcPr>
          <w:p>
            <w:pPr>
              <w:ind w:firstLine="210" w:firstLineChars="100"/>
              <w:jc w:val="left"/>
              <w:rPr>
                <w:rFonts w:ascii="宋体" w:hAnsi="宋体" w:cs="宋体"/>
                <w:color w:val="000000"/>
              </w:rPr>
            </w:pPr>
            <w:r>
              <w:rPr>
                <w:rFonts w:hint="eastAsia" w:ascii="宋体" w:hAnsi="宋体" w:cs="宋体"/>
                <w:color w:val="000000"/>
              </w:rPr>
              <w:t>50%</w:t>
            </w:r>
          </w:p>
        </w:tc>
      </w:tr>
      <w:tr>
        <w:tblPrEx>
          <w:tblCellMar>
            <w:top w:w="0" w:type="dxa"/>
            <w:left w:w="108" w:type="dxa"/>
            <w:bottom w:w="0" w:type="dxa"/>
            <w:right w:w="108" w:type="dxa"/>
          </w:tblCellMar>
        </w:tblPrEx>
        <w:trPr>
          <w:trHeight w:val="744" w:hRule="atLeast"/>
          <w:jc w:val="center"/>
        </w:trPr>
        <w:tc>
          <w:tcPr>
            <w:tcW w:w="1572" w:type="dxa"/>
            <w:tcBorders>
              <w:top w:val="nil"/>
              <w:left w:val="double" w:color="auto" w:sz="6" w:space="0"/>
              <w:bottom w:val="single" w:color="auto" w:sz="4" w:space="0"/>
              <w:right w:val="single" w:color="auto" w:sz="4" w:space="0"/>
            </w:tcBorders>
            <w:shd w:val="clear" w:color="auto" w:fill="auto"/>
            <w:vAlign w:val="center"/>
          </w:tcPr>
          <w:p>
            <w:pPr>
              <w:jc w:val="left"/>
              <w:rPr>
                <w:color w:val="000000"/>
              </w:rPr>
            </w:pPr>
            <w:r>
              <w:rPr>
                <w:color w:val="000000"/>
              </w:rPr>
              <w:t>CPU</w:t>
            </w:r>
            <w:r>
              <w:rPr>
                <w:rFonts w:hint="eastAsia" w:ascii="宋体" w:hAnsi="宋体"/>
                <w:color w:val="000000"/>
              </w:rPr>
              <w:t>使用情况</w:t>
            </w:r>
          </w:p>
        </w:tc>
        <w:tc>
          <w:tcPr>
            <w:tcW w:w="2374"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查看服务器当前CPU使用情况</w:t>
            </w:r>
          </w:p>
        </w:tc>
        <w:tc>
          <w:tcPr>
            <w:tcW w:w="993" w:type="dxa"/>
            <w:tcBorders>
              <w:top w:val="nil"/>
              <w:left w:val="nil"/>
              <w:bottom w:val="single" w:color="auto" w:sz="4"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single" w:color="auto" w:sz="4"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rPr>
              <w:t>60%以内</w:t>
            </w:r>
          </w:p>
        </w:tc>
        <w:tc>
          <w:tcPr>
            <w:tcW w:w="1193" w:type="dxa"/>
            <w:tcBorders>
              <w:top w:val="single" w:color="auto" w:sz="4" w:space="0"/>
              <w:left w:val="nil"/>
              <w:bottom w:val="single" w:color="auto" w:sz="4" w:space="0"/>
              <w:right w:val="double" w:color="auto" w:sz="6" w:space="0"/>
            </w:tcBorders>
            <w:vAlign w:val="center"/>
          </w:tcPr>
          <w:p>
            <w:pPr>
              <w:ind w:firstLine="210" w:firstLineChars="100"/>
              <w:jc w:val="left"/>
              <w:rPr>
                <w:rFonts w:ascii="宋体" w:hAnsi="宋体" w:cs="宋体"/>
                <w:color w:val="000000"/>
              </w:rPr>
            </w:pPr>
            <w:r>
              <w:rPr>
                <w:rFonts w:hint="eastAsia" w:ascii="宋体" w:hAnsi="宋体" w:cs="宋体"/>
                <w:color w:val="000000"/>
              </w:rPr>
              <w:t>3%</w:t>
            </w:r>
          </w:p>
        </w:tc>
      </w:tr>
      <w:tr>
        <w:tblPrEx>
          <w:tblCellMar>
            <w:top w:w="0" w:type="dxa"/>
            <w:left w:w="108" w:type="dxa"/>
            <w:bottom w:w="0" w:type="dxa"/>
            <w:right w:w="108" w:type="dxa"/>
          </w:tblCellMar>
        </w:tblPrEx>
        <w:trPr>
          <w:trHeight w:val="902" w:hRule="atLeast"/>
          <w:jc w:val="center"/>
        </w:trPr>
        <w:tc>
          <w:tcPr>
            <w:tcW w:w="1572" w:type="dxa"/>
            <w:tcBorders>
              <w:top w:val="nil"/>
              <w:left w:val="double" w:color="auto" w:sz="6" w:space="0"/>
              <w:bottom w:val="double" w:color="auto" w:sz="6"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硬盘使用情况</w:t>
            </w:r>
          </w:p>
        </w:tc>
        <w:tc>
          <w:tcPr>
            <w:tcW w:w="2374" w:type="dxa"/>
            <w:tcBorders>
              <w:top w:val="nil"/>
              <w:left w:val="nil"/>
              <w:bottom w:val="double" w:color="auto" w:sz="6"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查看服务器当前硬盘使用情况</w:t>
            </w:r>
          </w:p>
        </w:tc>
        <w:tc>
          <w:tcPr>
            <w:tcW w:w="993" w:type="dxa"/>
            <w:tcBorders>
              <w:top w:val="nil"/>
              <w:left w:val="nil"/>
              <w:bottom w:val="double" w:color="auto" w:sz="6" w:space="0"/>
              <w:right w:val="single" w:color="auto" w:sz="4" w:space="0"/>
            </w:tcBorders>
            <w:shd w:val="clear" w:color="auto" w:fill="FFFFFF"/>
            <w:vAlign w:val="center"/>
          </w:tcPr>
          <w:p>
            <w:pPr>
              <w:rPr>
                <w:rFonts w:ascii="宋体" w:hAnsi="宋体" w:cs="宋体"/>
                <w:color w:val="000000"/>
              </w:rPr>
            </w:pPr>
            <w:r>
              <w:rPr>
                <w:rFonts w:hint="eastAsia" w:ascii="宋体" w:hAnsi="宋体" w:cs="宋体"/>
                <w:color w:val="000000"/>
              </w:rPr>
              <w:t>口  正常</w:t>
            </w:r>
          </w:p>
        </w:tc>
        <w:tc>
          <w:tcPr>
            <w:tcW w:w="992" w:type="dxa"/>
            <w:tcBorders>
              <w:top w:val="nil"/>
              <w:left w:val="nil"/>
              <w:bottom w:val="double" w:color="auto" w:sz="6" w:space="0"/>
              <w:right w:val="single" w:color="auto" w:sz="4" w:space="0"/>
            </w:tcBorders>
            <w:shd w:val="clear" w:color="auto" w:fill="FFFFFF"/>
            <w:vAlign w:val="center"/>
          </w:tcPr>
          <w:p>
            <w:pPr>
              <w:jc w:val="left"/>
              <w:rPr>
                <w:rFonts w:ascii="Wingdings" w:hAnsi="Wingdings" w:cs="宋体"/>
                <w:color w:val="000000"/>
              </w:rPr>
            </w:pPr>
            <w:r>
              <w:rPr>
                <w:rFonts w:ascii="Wingdings" w:hAnsi="Wingdings" w:cs="宋体"/>
                <w:color w:val="000000"/>
              </w:rPr>
              <w:t></w:t>
            </w:r>
            <w:r>
              <w:rPr>
                <w:color w:val="000000"/>
                <w:sz w:val="14"/>
                <w:szCs w:val="14"/>
              </w:rPr>
              <w:t xml:space="preserve">  </w:t>
            </w:r>
            <w:r>
              <w:rPr>
                <w:rFonts w:hint="eastAsia" w:ascii="宋体" w:hAnsi="宋体" w:cs="宋体"/>
                <w:color w:val="000000"/>
              </w:rPr>
              <w:t xml:space="preserve">异常   </w:t>
            </w:r>
          </w:p>
        </w:tc>
        <w:tc>
          <w:tcPr>
            <w:tcW w:w="1559" w:type="dxa"/>
            <w:tcBorders>
              <w:top w:val="nil"/>
              <w:left w:val="nil"/>
              <w:bottom w:val="double" w:color="auto" w:sz="6" w:space="0"/>
              <w:right w:val="single" w:color="auto" w:sz="4" w:space="0"/>
            </w:tcBorders>
            <w:vAlign w:val="center"/>
          </w:tcPr>
          <w:p>
            <w:pPr>
              <w:jc w:val="left"/>
              <w:rPr>
                <w:rFonts w:ascii="宋体" w:hAnsi="宋体" w:cs="宋体"/>
                <w:color w:val="000000"/>
              </w:rPr>
            </w:pPr>
            <w:r>
              <w:rPr>
                <w:rFonts w:hint="eastAsia" w:ascii="宋体" w:hAnsi="宋体" w:cs="宋体"/>
                <w:color w:val="000000"/>
              </w:rPr>
              <w:t>使用空间80%以内</w:t>
            </w:r>
          </w:p>
        </w:tc>
        <w:tc>
          <w:tcPr>
            <w:tcW w:w="1193" w:type="dxa"/>
            <w:tcBorders>
              <w:top w:val="single" w:color="auto" w:sz="4" w:space="0"/>
              <w:left w:val="nil"/>
              <w:bottom w:val="double" w:color="auto" w:sz="6" w:space="0"/>
              <w:right w:val="double" w:color="auto" w:sz="6" w:space="0"/>
            </w:tcBorders>
            <w:vAlign w:val="center"/>
          </w:tcPr>
          <w:p>
            <w:pPr>
              <w:ind w:firstLine="210" w:firstLineChars="100"/>
              <w:jc w:val="left"/>
              <w:rPr>
                <w:rFonts w:ascii="宋体" w:hAnsi="宋体" w:cs="宋体"/>
                <w:color w:val="000000"/>
              </w:rPr>
            </w:pPr>
            <w:r>
              <w:rPr>
                <w:rFonts w:hint="eastAsia" w:ascii="宋体" w:hAnsi="宋体" w:cs="宋体"/>
                <w:color w:val="000000"/>
              </w:rPr>
              <w:t>30%</w:t>
            </w:r>
          </w:p>
        </w:tc>
      </w:tr>
    </w:tbl>
    <w:p>
      <w:pPr>
        <w:pStyle w:val="6"/>
        <w:numPr>
          <w:ilvl w:val="0"/>
          <w:numId w:val="3"/>
        </w:numPr>
        <w:rPr>
          <w:rFonts w:ascii="宋体" w:hAnsi="宋体"/>
          <w:b w:val="0"/>
          <w:sz w:val="28"/>
          <w:szCs w:val="28"/>
        </w:rPr>
      </w:pPr>
      <w:bookmarkStart w:id="31" w:name="_Toc3864"/>
      <w:r>
        <w:rPr>
          <w:rFonts w:hint="eastAsia" w:ascii="宋体" w:hAnsi="宋体"/>
          <w:b w:val="0"/>
          <w:sz w:val="28"/>
          <w:szCs w:val="28"/>
        </w:rPr>
        <w:t>其他弱电系统服务内容</w:t>
      </w:r>
      <w:bookmarkEnd w:id="31"/>
    </w:p>
    <w:p>
      <w:pPr>
        <w:spacing w:line="360" w:lineRule="auto"/>
        <w:ind w:firstLine="480" w:firstLineChars="200"/>
        <w:jc w:val="left"/>
        <w:rPr>
          <w:sz w:val="24"/>
        </w:rPr>
      </w:pPr>
      <w:r>
        <w:rPr>
          <w:rFonts w:hint="eastAsia"/>
          <w:sz w:val="24"/>
        </w:rPr>
        <w:t>为保障弱电系统内其他系统的稳定运行，包括公共广播系统、排队叫号系统、能源计量系统、巡更系统、信息发布系统、多媒体会议系统、门禁系统等，安排专业技术人员进行定期巡检。</w:t>
      </w:r>
    </w:p>
    <w:p>
      <w:pPr>
        <w:spacing w:line="360" w:lineRule="auto"/>
        <w:ind w:firstLine="480" w:firstLineChars="200"/>
        <w:jc w:val="left"/>
        <w:rPr>
          <w:sz w:val="24"/>
        </w:rPr>
      </w:pPr>
      <w:r>
        <w:rPr>
          <w:rFonts w:hint="eastAsia"/>
          <w:sz w:val="24"/>
        </w:rPr>
        <w:t>在定期巡检过程中发现的问题，</w:t>
      </w:r>
      <w:r>
        <w:rPr>
          <w:rFonts w:hint="eastAsia" w:ascii="宋体"/>
          <w:sz w:val="24"/>
        </w:rPr>
        <w:t>巡检人员将及时处理，快速反馈，使用户目前存在的问题能在最短的时间内得到解决。同时加强与医院的沟通，使院方在出现问题时，能及时快速的反应到公司的支持部门，使问题得到及时处理，保证院方设备的正常运行</w:t>
      </w:r>
      <w:r>
        <w:rPr>
          <w:rFonts w:hint="eastAsia"/>
          <w:sz w:val="24"/>
        </w:rPr>
        <w:t>。</w:t>
      </w:r>
    </w:p>
    <w:p>
      <w:pPr>
        <w:spacing w:line="360" w:lineRule="auto"/>
        <w:ind w:firstLine="480" w:firstLineChars="200"/>
        <w:jc w:val="left"/>
        <w:rPr>
          <w:sz w:val="24"/>
        </w:rPr>
      </w:pPr>
      <w:r>
        <w:rPr>
          <w:rFonts w:hint="eastAsia"/>
          <w:sz w:val="24"/>
        </w:rPr>
        <w:t>巡检内容如下：</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检查各系统总体运行是否正常。</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检查各系统范围，根据用户要求对设备进行调整。</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检查各系统所用电源的稳定性和电压输出是否正常。</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检查各系统各线路与网络接口是否有接触不良状况。</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检查各系统各部备件及防护功能是否缺损。</w:t>
      </w:r>
    </w:p>
    <w:p>
      <w:pPr>
        <w:pStyle w:val="3"/>
        <w:numPr>
          <w:ilvl w:val="0"/>
          <w:numId w:val="7"/>
        </w:numPr>
        <w:spacing w:line="360" w:lineRule="auto"/>
        <w:ind w:left="567" w:hanging="567" w:firstLineChars="0"/>
        <w:rPr>
          <w:rFonts w:ascii="宋体" w:hAnsi="宋体"/>
          <w:sz w:val="24"/>
        </w:rPr>
      </w:pPr>
      <w:r>
        <w:rPr>
          <w:rFonts w:hint="eastAsia" w:ascii="宋体" w:hAnsi="宋体"/>
          <w:sz w:val="24"/>
        </w:rPr>
        <w:t>在用户的协调下检查各系统主机连接状态及跟踪连接端口的变动及调试。</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检查各系统线路传输是否存在信号衰减和电磁干扰等问题。</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检查各系统电脑主机程序及软件是否运行正常。</w:t>
      </w:r>
    </w:p>
    <w:p>
      <w:pPr>
        <w:pStyle w:val="3"/>
        <w:numPr>
          <w:ilvl w:val="0"/>
          <w:numId w:val="7"/>
        </w:numPr>
        <w:spacing w:line="360" w:lineRule="auto"/>
        <w:ind w:left="567" w:hanging="567" w:firstLineChars="0"/>
        <w:rPr>
          <w:rFonts w:ascii="宋体" w:hAnsi="宋体"/>
          <w:sz w:val="24"/>
        </w:rPr>
      </w:pPr>
      <w:r>
        <w:rPr>
          <w:rFonts w:hint="eastAsia" w:ascii="宋体" w:hAnsi="宋体"/>
          <w:sz w:val="24"/>
        </w:rPr>
        <w:t>检查各系统软件运行是否正常。</w:t>
      </w:r>
    </w:p>
    <w:p>
      <w:pPr>
        <w:pStyle w:val="3"/>
        <w:numPr>
          <w:ilvl w:val="0"/>
          <w:numId w:val="7"/>
        </w:numPr>
        <w:spacing w:line="360" w:lineRule="auto"/>
        <w:ind w:left="567" w:hanging="567" w:firstLineChars="0"/>
        <w:rPr>
          <w:rFonts w:ascii="宋体" w:hAnsi="宋体"/>
          <w:sz w:val="24"/>
        </w:rPr>
      </w:pPr>
      <w:r>
        <w:rPr>
          <w:rFonts w:hint="eastAsia" w:ascii="宋体" w:hAnsi="宋体"/>
          <w:sz w:val="24"/>
        </w:rPr>
        <w:t>解决各系统整体正确运行过程中存在的技术问题。</w:t>
      </w:r>
    </w:p>
    <w:p>
      <w:pPr>
        <w:spacing w:line="360" w:lineRule="auto"/>
        <w:ind w:firstLine="480" w:firstLineChars="200"/>
        <w:jc w:val="left"/>
        <w:rPr>
          <w:rFonts w:ascii="宋体"/>
          <w:sz w:val="24"/>
        </w:rPr>
      </w:pPr>
      <w:r>
        <w:rPr>
          <w:rFonts w:hint="eastAsia" w:ascii="宋体"/>
          <w:sz w:val="24"/>
        </w:rPr>
        <w:t>除定期巡检外，针对每种弱电系统的故障排除都有应急预案，保证各系统在出现故障时，能够快速完成故障排查，修复故障，减少业务运行影响。</w:t>
      </w:r>
    </w:p>
    <w:bookmarkEnd w:id="20"/>
    <w:bookmarkEnd w:id="21"/>
    <w:bookmarkEnd w:id="22"/>
    <w:bookmarkEnd w:id="23"/>
    <w:bookmarkEnd w:id="24"/>
    <w:p>
      <w:pPr>
        <w:numPr>
          <w:ilvl w:val="1"/>
          <w:numId w:val="1"/>
        </w:numPr>
        <w:spacing w:line="720" w:lineRule="auto"/>
        <w:outlineLvl w:val="1"/>
        <w:rPr>
          <w:rFonts w:ascii="宋体" w:hAnsi="宋体"/>
          <w:sz w:val="30"/>
          <w:szCs w:val="30"/>
        </w:rPr>
      </w:pPr>
      <w:bookmarkStart w:id="32" w:name="_Toc460484946"/>
      <w:bookmarkStart w:id="33" w:name="_Toc70082166"/>
      <w:bookmarkStart w:id="34" w:name="_Toc4604"/>
      <w:r>
        <w:rPr>
          <w:rFonts w:hint="eastAsia" w:ascii="宋体" w:hAnsi="宋体"/>
          <w:sz w:val="30"/>
          <w:szCs w:val="30"/>
        </w:rPr>
        <w:t>UPS系统维护服务</w:t>
      </w:r>
      <w:bookmarkEnd w:id="32"/>
      <w:bookmarkEnd w:id="33"/>
      <w:r>
        <w:rPr>
          <w:rFonts w:hint="eastAsia" w:ascii="宋体" w:hAnsi="宋体"/>
          <w:sz w:val="30"/>
          <w:szCs w:val="30"/>
        </w:rPr>
        <w:t>要求</w:t>
      </w:r>
      <w:bookmarkEnd w:id="34"/>
    </w:p>
    <w:p>
      <w:pPr>
        <w:pStyle w:val="6"/>
        <w:numPr>
          <w:ilvl w:val="0"/>
          <w:numId w:val="8"/>
        </w:numPr>
        <w:rPr>
          <w:rFonts w:ascii="宋体" w:hAnsi="宋体"/>
          <w:b w:val="0"/>
          <w:sz w:val="28"/>
          <w:szCs w:val="28"/>
        </w:rPr>
      </w:pPr>
      <w:bookmarkStart w:id="35" w:name="_Toc460484947"/>
      <w:bookmarkStart w:id="36" w:name="_Toc11749"/>
      <w:r>
        <w:rPr>
          <w:rFonts w:hint="eastAsia" w:ascii="宋体" w:hAnsi="宋体"/>
          <w:b w:val="0"/>
          <w:sz w:val="28"/>
          <w:szCs w:val="28"/>
        </w:rPr>
        <w:t>服务</w:t>
      </w:r>
      <w:bookmarkEnd w:id="35"/>
      <w:r>
        <w:rPr>
          <w:rFonts w:hint="eastAsia" w:ascii="宋体" w:hAnsi="宋体"/>
          <w:b w:val="0"/>
          <w:sz w:val="28"/>
          <w:szCs w:val="28"/>
        </w:rPr>
        <w:t>目的</w:t>
      </w:r>
      <w:bookmarkEnd w:id="36"/>
    </w:p>
    <w:p>
      <w:pPr>
        <w:spacing w:line="360" w:lineRule="auto"/>
        <w:rPr>
          <w:rFonts w:ascii="宋体" w:hAnsi="宋体"/>
          <w:sz w:val="24"/>
        </w:rPr>
      </w:pPr>
      <w:r>
        <w:rPr>
          <w:rFonts w:hint="eastAsia" w:ascii="宋体" w:hAnsi="宋体"/>
          <w:sz w:val="24"/>
        </w:rPr>
        <w:t xml:space="preserve">    UPS系统为各科室的主要供电系统</w:t>
      </w:r>
      <w:r>
        <w:rPr>
          <w:rFonts w:hint="eastAsia" w:ascii="宋体" w:hAnsi="宋体" w:cs="宋体"/>
          <w:sz w:val="24"/>
        </w:rPr>
        <w:t>，对各科室设备等提供稳定的供电环境，它需要</w:t>
      </w:r>
      <w:r>
        <w:rPr>
          <w:rFonts w:ascii="宋体" w:hAnsi="宋体"/>
          <w:sz w:val="24"/>
        </w:rPr>
        <w:t>24</w:t>
      </w:r>
      <w:r>
        <w:rPr>
          <w:rFonts w:hint="eastAsia" w:ascii="宋体" w:hAnsi="宋体" w:cs="宋体"/>
          <w:sz w:val="24"/>
        </w:rPr>
        <w:t>小时不间断的工作，以保障设备的正常运行。</w:t>
      </w:r>
    </w:p>
    <w:p>
      <w:pPr>
        <w:pStyle w:val="6"/>
        <w:numPr>
          <w:ilvl w:val="0"/>
          <w:numId w:val="8"/>
        </w:numPr>
        <w:rPr>
          <w:rFonts w:ascii="宋体" w:hAnsi="宋体"/>
          <w:b w:val="0"/>
          <w:sz w:val="28"/>
          <w:szCs w:val="28"/>
        </w:rPr>
      </w:pPr>
      <w:bookmarkStart w:id="37" w:name="_Toc19486"/>
      <w:bookmarkStart w:id="38" w:name="_Toc460484948"/>
      <w:r>
        <w:rPr>
          <w:rFonts w:hint="eastAsia" w:ascii="宋体" w:hAnsi="宋体"/>
          <w:b w:val="0"/>
          <w:sz w:val="28"/>
          <w:szCs w:val="28"/>
        </w:rPr>
        <w:t>服务范围</w:t>
      </w:r>
      <w:bookmarkEnd w:id="37"/>
      <w:bookmarkEnd w:id="38"/>
    </w:p>
    <w:p>
      <w:pPr>
        <w:spacing w:line="360" w:lineRule="auto"/>
        <w:rPr>
          <w:rFonts w:ascii="宋体" w:hAnsi="宋体"/>
          <w:b/>
          <w:sz w:val="24"/>
        </w:rPr>
      </w:pPr>
      <w:r>
        <w:rPr>
          <w:rFonts w:hint="eastAsia" w:ascii="宋体" w:hAnsi="宋体"/>
          <w:b/>
          <w:sz w:val="24"/>
        </w:rPr>
        <w:t>电池的保养</w:t>
      </w:r>
    </w:p>
    <w:p>
      <w:pPr>
        <w:pStyle w:val="39"/>
        <w:numPr>
          <w:ilvl w:val="0"/>
          <w:numId w:val="9"/>
        </w:numPr>
        <w:spacing w:line="360" w:lineRule="auto"/>
        <w:ind w:left="567" w:hanging="55" w:firstLineChars="0"/>
        <w:rPr>
          <w:rFonts w:ascii="宋体" w:hAnsi="宋体"/>
          <w:sz w:val="24"/>
        </w:rPr>
      </w:pPr>
      <w:r>
        <w:rPr>
          <w:rFonts w:hint="eastAsia" w:ascii="宋体" w:hAnsi="宋体"/>
          <w:sz w:val="24"/>
        </w:rPr>
        <w:t>对电池组中的电池做静态,动态测试</w:t>
      </w:r>
    </w:p>
    <w:p>
      <w:pPr>
        <w:pStyle w:val="39"/>
        <w:numPr>
          <w:ilvl w:val="0"/>
          <w:numId w:val="9"/>
        </w:numPr>
        <w:spacing w:line="360" w:lineRule="auto"/>
        <w:ind w:left="567" w:hanging="55" w:firstLineChars="0"/>
        <w:rPr>
          <w:rFonts w:ascii="宋体" w:hAnsi="宋体"/>
          <w:sz w:val="24"/>
        </w:rPr>
      </w:pPr>
      <w:r>
        <w:rPr>
          <w:rFonts w:hint="eastAsia" w:ascii="宋体" w:hAnsi="宋体"/>
          <w:sz w:val="24"/>
        </w:rPr>
        <w:t>对电池组的联接进行检查</w:t>
      </w:r>
    </w:p>
    <w:p>
      <w:pPr>
        <w:pStyle w:val="39"/>
        <w:numPr>
          <w:ilvl w:val="0"/>
          <w:numId w:val="9"/>
        </w:numPr>
        <w:spacing w:line="360" w:lineRule="auto"/>
        <w:ind w:left="567" w:hanging="55" w:firstLineChars="0"/>
        <w:rPr>
          <w:rFonts w:ascii="宋体" w:hAnsi="宋体"/>
          <w:sz w:val="24"/>
        </w:rPr>
      </w:pPr>
      <w:r>
        <w:rPr>
          <w:rFonts w:hint="eastAsia" w:ascii="宋体" w:hAnsi="宋体"/>
          <w:sz w:val="24"/>
        </w:rPr>
        <w:t xml:space="preserve"> 电池在UPS主机上放电测试</w:t>
      </w:r>
    </w:p>
    <w:p>
      <w:pPr>
        <w:pStyle w:val="39"/>
        <w:numPr>
          <w:ilvl w:val="0"/>
          <w:numId w:val="9"/>
        </w:numPr>
        <w:spacing w:line="360" w:lineRule="auto"/>
        <w:ind w:left="567" w:hanging="55" w:firstLineChars="0"/>
        <w:rPr>
          <w:rFonts w:ascii="宋体" w:hAnsi="宋体"/>
          <w:sz w:val="24"/>
        </w:rPr>
      </w:pPr>
      <w:r>
        <w:rPr>
          <w:rFonts w:hint="eastAsia" w:ascii="宋体" w:hAnsi="宋体"/>
          <w:sz w:val="24"/>
        </w:rPr>
        <w:t>主机保养</w:t>
      </w:r>
    </w:p>
    <w:p>
      <w:pPr>
        <w:spacing w:line="360" w:lineRule="auto"/>
        <w:rPr>
          <w:rFonts w:ascii="宋体" w:hAnsi="宋体"/>
          <w:sz w:val="24"/>
        </w:rPr>
      </w:pPr>
      <w:r>
        <w:rPr>
          <w:rFonts w:hint="eastAsia" w:ascii="宋体" w:hAnsi="宋体"/>
          <w:sz w:val="24"/>
        </w:rPr>
        <w:t xml:space="preserve">        A. 检查设备的运行状况</w:t>
      </w:r>
    </w:p>
    <w:p>
      <w:pPr>
        <w:spacing w:line="360" w:lineRule="auto"/>
        <w:rPr>
          <w:rFonts w:ascii="宋体" w:hAnsi="宋体"/>
          <w:sz w:val="24"/>
        </w:rPr>
      </w:pPr>
      <w:r>
        <w:rPr>
          <w:rFonts w:hint="eastAsia" w:ascii="宋体" w:hAnsi="宋体"/>
          <w:sz w:val="24"/>
        </w:rPr>
        <w:t xml:space="preserve">        B. 对需要进行清扫的机器进行除尘清扫</w:t>
      </w:r>
    </w:p>
    <w:p>
      <w:pPr>
        <w:spacing w:line="360" w:lineRule="auto"/>
        <w:rPr>
          <w:rFonts w:ascii="宋体" w:hAnsi="宋体"/>
          <w:sz w:val="24"/>
        </w:rPr>
      </w:pPr>
      <w:r>
        <w:rPr>
          <w:rFonts w:hint="eastAsia" w:ascii="宋体" w:hAnsi="宋体"/>
          <w:sz w:val="24"/>
        </w:rPr>
        <w:t xml:space="preserve">        C. 对设备内主要部件进行静态测试</w:t>
      </w:r>
    </w:p>
    <w:p>
      <w:pPr>
        <w:spacing w:line="360" w:lineRule="auto"/>
        <w:rPr>
          <w:rFonts w:ascii="宋体" w:hAnsi="宋体"/>
          <w:sz w:val="24"/>
        </w:rPr>
      </w:pPr>
      <w:r>
        <w:rPr>
          <w:rFonts w:hint="eastAsia" w:ascii="宋体" w:hAnsi="宋体"/>
          <w:sz w:val="24"/>
        </w:rPr>
        <w:t xml:space="preserve">        D. 检测机内易损单元 (逆变器, 整流器, 静态开关)</w:t>
      </w:r>
    </w:p>
    <w:p>
      <w:pPr>
        <w:spacing w:line="360" w:lineRule="auto"/>
        <w:rPr>
          <w:rFonts w:ascii="宋体" w:hAnsi="宋体"/>
          <w:sz w:val="24"/>
        </w:rPr>
      </w:pPr>
      <w:r>
        <w:rPr>
          <w:rFonts w:hint="eastAsia" w:ascii="宋体" w:hAnsi="宋体"/>
          <w:sz w:val="24"/>
        </w:rPr>
        <w:t xml:space="preserve">        E. 检查设备的输入, 输出联接端子是否牢固</w:t>
      </w:r>
    </w:p>
    <w:p>
      <w:pPr>
        <w:spacing w:line="360" w:lineRule="auto"/>
        <w:rPr>
          <w:rFonts w:ascii="宋体" w:hAnsi="宋体"/>
          <w:sz w:val="24"/>
        </w:rPr>
      </w:pPr>
      <w:r>
        <w:rPr>
          <w:rFonts w:hint="eastAsia" w:ascii="宋体" w:hAnsi="宋体"/>
          <w:sz w:val="24"/>
        </w:rPr>
        <w:t xml:space="preserve">        F. 恢复设备运行, 检测设备的输出主要性能指标</w:t>
      </w:r>
    </w:p>
    <w:p>
      <w:pPr>
        <w:pStyle w:val="39"/>
        <w:numPr>
          <w:ilvl w:val="0"/>
          <w:numId w:val="9"/>
        </w:numPr>
        <w:spacing w:line="360" w:lineRule="auto"/>
        <w:ind w:left="567" w:hanging="55" w:firstLineChars="0"/>
        <w:rPr>
          <w:rFonts w:ascii="宋体" w:hAnsi="宋体"/>
          <w:sz w:val="24"/>
        </w:rPr>
      </w:pPr>
      <w:r>
        <w:rPr>
          <w:rFonts w:hint="eastAsia" w:ascii="宋体" w:hAnsi="宋体"/>
          <w:sz w:val="24"/>
        </w:rPr>
        <w:t>在维护期内提供技术服务热线（24小时），负责解答用户在设备使用中遇到的问题，并及时提出解决问题的建议和操作方法。</w:t>
      </w:r>
    </w:p>
    <w:p>
      <w:pPr>
        <w:pStyle w:val="39"/>
        <w:numPr>
          <w:ilvl w:val="0"/>
          <w:numId w:val="9"/>
        </w:numPr>
        <w:spacing w:line="360" w:lineRule="auto"/>
        <w:ind w:left="567" w:hanging="55" w:firstLineChars="0"/>
        <w:rPr>
          <w:rFonts w:ascii="宋体" w:hAnsi="宋体"/>
          <w:sz w:val="24"/>
        </w:rPr>
      </w:pPr>
      <w:r>
        <w:rPr>
          <w:rFonts w:hint="eastAsia" w:ascii="宋体" w:hAnsi="宋体"/>
          <w:sz w:val="24"/>
        </w:rPr>
        <w:t>在UPS设备(含软件)一年维护期内服务提供商应提供（24小时）现场保修和技术支持服务，20分钟内上门到达用户现场，如诊断为硬件故障，应携带备件并进行现场更换，承诺尽力在最短时间内恢复系统正常运行，如果故障不能在12小时内排除,提供备机。</w:t>
      </w:r>
    </w:p>
    <w:p>
      <w:pPr>
        <w:autoSpaceDE w:val="0"/>
        <w:autoSpaceDN w:val="0"/>
        <w:adjustRightInd w:val="0"/>
        <w:spacing w:line="360" w:lineRule="auto"/>
        <w:rPr>
          <w:rFonts w:ascii="Calibri" w:hAnsi="Calibri"/>
          <w:b/>
          <w:sz w:val="24"/>
        </w:rPr>
      </w:pPr>
      <w:r>
        <w:rPr>
          <w:rFonts w:hint="eastAsia" w:ascii="Calibri" w:hAnsi="Calibri"/>
          <w:b/>
          <w:sz w:val="24"/>
        </w:rPr>
        <w:t>环境检查：</w:t>
      </w:r>
    </w:p>
    <w:p>
      <w:pPr>
        <w:numPr>
          <w:ilvl w:val="0"/>
          <w:numId w:val="10"/>
        </w:numPr>
        <w:autoSpaceDE w:val="0"/>
        <w:autoSpaceDN w:val="0"/>
        <w:spacing w:line="360" w:lineRule="auto"/>
        <w:ind w:firstLine="6"/>
        <w:rPr>
          <w:sz w:val="24"/>
        </w:rPr>
      </w:pPr>
      <w:r>
        <w:rPr>
          <w:rFonts w:hint="eastAsia" w:ascii="Calibri" w:hAnsi="Calibri"/>
          <w:sz w:val="24"/>
        </w:rPr>
        <w:t>房间的清洁程度</w:t>
      </w:r>
    </w:p>
    <w:p>
      <w:pPr>
        <w:numPr>
          <w:ilvl w:val="0"/>
          <w:numId w:val="10"/>
        </w:numPr>
        <w:autoSpaceDE w:val="0"/>
        <w:autoSpaceDN w:val="0"/>
        <w:spacing w:line="360" w:lineRule="auto"/>
        <w:ind w:firstLine="6"/>
        <w:rPr>
          <w:sz w:val="24"/>
        </w:rPr>
      </w:pPr>
      <w:r>
        <w:rPr>
          <w:rFonts w:hint="eastAsia" w:ascii="Calibri" w:hAnsi="Calibri"/>
          <w:sz w:val="24"/>
        </w:rPr>
        <w:t>房间的温度：电池房</w:t>
      </w:r>
      <w:r>
        <w:rPr>
          <w:rFonts w:hint="eastAsia" w:ascii="宋体" w:hAnsi="宋体"/>
          <w:sz w:val="24"/>
        </w:rPr>
        <w:t>（小于</w:t>
      </w:r>
      <w:r>
        <w:rPr>
          <w:rFonts w:ascii="宋体" w:hAnsi="宋体"/>
          <w:sz w:val="24"/>
        </w:rPr>
        <w:t>25</w:t>
      </w:r>
      <w:r>
        <w:rPr>
          <w:rFonts w:hint="eastAsia" w:ascii="宋体" w:hAnsi="宋体"/>
          <w:sz w:val="24"/>
        </w:rPr>
        <w:t>度）、</w:t>
      </w:r>
      <w:r>
        <w:rPr>
          <w:rFonts w:ascii="宋体" w:hAnsi="宋体"/>
          <w:sz w:val="24"/>
        </w:rPr>
        <w:t>UPS</w:t>
      </w:r>
      <w:r>
        <w:rPr>
          <w:rFonts w:hint="eastAsia" w:ascii="宋体" w:hAnsi="宋体"/>
          <w:sz w:val="24"/>
        </w:rPr>
        <w:t>房（小于</w:t>
      </w:r>
      <w:r>
        <w:rPr>
          <w:rFonts w:ascii="宋体" w:hAnsi="宋体"/>
          <w:sz w:val="24"/>
        </w:rPr>
        <w:t>40</w:t>
      </w:r>
      <w:r>
        <w:rPr>
          <w:rFonts w:hint="eastAsia" w:ascii="宋体" w:hAnsi="宋体"/>
          <w:sz w:val="24"/>
        </w:rPr>
        <w:t>度）</w:t>
      </w:r>
    </w:p>
    <w:p>
      <w:pPr>
        <w:numPr>
          <w:ilvl w:val="0"/>
          <w:numId w:val="10"/>
        </w:numPr>
        <w:autoSpaceDE w:val="0"/>
        <w:autoSpaceDN w:val="0"/>
        <w:spacing w:line="360" w:lineRule="auto"/>
        <w:ind w:firstLine="6"/>
        <w:rPr>
          <w:sz w:val="24"/>
        </w:rPr>
      </w:pPr>
      <w:r>
        <w:rPr>
          <w:rFonts w:hint="eastAsia" w:ascii="Calibri" w:hAnsi="Calibri"/>
          <w:sz w:val="24"/>
        </w:rPr>
        <w:t>设备四周及上面是否有堆积物；</w:t>
      </w:r>
    </w:p>
    <w:p>
      <w:pPr>
        <w:numPr>
          <w:ilvl w:val="0"/>
          <w:numId w:val="10"/>
        </w:numPr>
        <w:autoSpaceDE w:val="0"/>
        <w:autoSpaceDN w:val="0"/>
        <w:spacing w:line="360" w:lineRule="auto"/>
        <w:ind w:firstLine="6"/>
        <w:rPr>
          <w:sz w:val="24"/>
        </w:rPr>
      </w:pPr>
      <w:r>
        <w:rPr>
          <w:rFonts w:hint="eastAsia" w:ascii="Calibri" w:hAnsi="Calibri"/>
          <w:sz w:val="24"/>
        </w:rPr>
        <w:t>房间的空调通风情况；</w:t>
      </w:r>
    </w:p>
    <w:p>
      <w:pPr>
        <w:numPr>
          <w:ilvl w:val="0"/>
          <w:numId w:val="10"/>
        </w:numPr>
        <w:autoSpaceDE w:val="0"/>
        <w:autoSpaceDN w:val="0"/>
        <w:spacing w:line="360" w:lineRule="auto"/>
        <w:ind w:firstLine="6"/>
        <w:rPr>
          <w:sz w:val="24"/>
        </w:rPr>
      </w:pPr>
      <w:r>
        <w:rPr>
          <w:rFonts w:hint="eastAsia" w:ascii="Calibri" w:hAnsi="Calibri"/>
          <w:sz w:val="24"/>
        </w:rPr>
        <w:t>设备上方是否有水管</w:t>
      </w:r>
    </w:p>
    <w:p>
      <w:pPr>
        <w:numPr>
          <w:ilvl w:val="0"/>
          <w:numId w:val="10"/>
        </w:numPr>
        <w:autoSpaceDE w:val="0"/>
        <w:autoSpaceDN w:val="0"/>
        <w:spacing w:line="360" w:lineRule="auto"/>
        <w:ind w:firstLine="6"/>
        <w:rPr>
          <w:rFonts w:ascii="Calibri" w:hAnsi="Calibri"/>
          <w:sz w:val="24"/>
        </w:rPr>
      </w:pPr>
      <w:r>
        <w:rPr>
          <w:rFonts w:hint="eastAsia" w:ascii="Calibri" w:hAnsi="Calibri"/>
          <w:sz w:val="24"/>
        </w:rPr>
        <w:t>是否所有金属柜、架都有地线连接；</w:t>
      </w:r>
    </w:p>
    <w:p>
      <w:pPr>
        <w:autoSpaceDE w:val="0"/>
        <w:autoSpaceDN w:val="0"/>
        <w:spacing w:line="360" w:lineRule="auto"/>
        <w:rPr>
          <w:rFonts w:ascii="Calibri" w:hAnsi="Calibri"/>
          <w:b/>
          <w:sz w:val="24"/>
        </w:rPr>
      </w:pPr>
      <w:r>
        <w:rPr>
          <w:rFonts w:hint="eastAsia" w:ascii="Calibri" w:hAnsi="Calibri"/>
          <w:b/>
          <w:sz w:val="24"/>
        </w:rPr>
        <w:t>输入滤波器检查：</w:t>
      </w:r>
    </w:p>
    <w:p>
      <w:pPr>
        <w:numPr>
          <w:ilvl w:val="0"/>
          <w:numId w:val="11"/>
        </w:numPr>
        <w:autoSpaceDE w:val="0"/>
        <w:autoSpaceDN w:val="0"/>
        <w:spacing w:line="360" w:lineRule="auto"/>
        <w:rPr>
          <w:rFonts w:ascii="Calibri" w:hAnsi="Calibri"/>
          <w:sz w:val="24"/>
        </w:rPr>
      </w:pPr>
      <w:r>
        <w:rPr>
          <w:rFonts w:hint="eastAsia" w:ascii="Calibri" w:hAnsi="Calibri"/>
          <w:sz w:val="24"/>
        </w:rPr>
        <w:t>物理检查：</w:t>
      </w:r>
    </w:p>
    <w:p>
      <w:pPr>
        <w:numPr>
          <w:ilvl w:val="1"/>
          <w:numId w:val="11"/>
        </w:numPr>
        <w:autoSpaceDE w:val="0"/>
        <w:autoSpaceDN w:val="0"/>
        <w:spacing w:line="360" w:lineRule="auto"/>
        <w:rPr>
          <w:rFonts w:ascii="Calibri" w:hAnsi="Calibri"/>
          <w:sz w:val="24"/>
        </w:rPr>
      </w:pPr>
      <w:r>
        <w:rPr>
          <w:rFonts w:hint="eastAsia" w:ascii="Calibri" w:hAnsi="Calibri"/>
          <w:sz w:val="24"/>
        </w:rPr>
        <w:t>电感</w:t>
      </w:r>
    </w:p>
    <w:p>
      <w:pPr>
        <w:numPr>
          <w:ilvl w:val="1"/>
          <w:numId w:val="11"/>
        </w:numPr>
        <w:autoSpaceDE w:val="0"/>
        <w:autoSpaceDN w:val="0"/>
        <w:spacing w:line="360" w:lineRule="auto"/>
        <w:rPr>
          <w:rFonts w:ascii="Calibri" w:hAnsi="Calibri"/>
          <w:sz w:val="24"/>
        </w:rPr>
      </w:pPr>
      <w:r>
        <w:rPr>
          <w:rFonts w:hint="eastAsia" w:ascii="Calibri" w:hAnsi="Calibri"/>
          <w:sz w:val="24"/>
        </w:rPr>
        <w:t>电容</w:t>
      </w:r>
    </w:p>
    <w:p>
      <w:pPr>
        <w:numPr>
          <w:ilvl w:val="1"/>
          <w:numId w:val="11"/>
        </w:numPr>
        <w:autoSpaceDE w:val="0"/>
        <w:autoSpaceDN w:val="0"/>
        <w:spacing w:line="360" w:lineRule="auto"/>
        <w:rPr>
          <w:rFonts w:ascii="Calibri" w:hAnsi="Calibri"/>
          <w:sz w:val="24"/>
        </w:rPr>
      </w:pPr>
      <w:r>
        <w:rPr>
          <w:rFonts w:hint="eastAsia" w:ascii="Calibri" w:hAnsi="Calibri"/>
          <w:sz w:val="24"/>
        </w:rPr>
        <w:t>机柜的清洁</w:t>
      </w:r>
    </w:p>
    <w:p>
      <w:pPr>
        <w:numPr>
          <w:ilvl w:val="0"/>
          <w:numId w:val="11"/>
        </w:numPr>
        <w:autoSpaceDE w:val="0"/>
        <w:autoSpaceDN w:val="0"/>
        <w:spacing w:line="360" w:lineRule="auto"/>
        <w:rPr>
          <w:rFonts w:ascii="Calibri" w:hAnsi="Calibri"/>
          <w:sz w:val="24"/>
        </w:rPr>
      </w:pPr>
      <w:r>
        <w:rPr>
          <w:rFonts w:hint="eastAsia" w:ascii="Calibri" w:hAnsi="Calibri"/>
          <w:sz w:val="24"/>
        </w:rPr>
        <w:t>连接紧密程度的检查（过热、氧化）</w:t>
      </w:r>
    </w:p>
    <w:p>
      <w:pPr>
        <w:numPr>
          <w:ilvl w:val="1"/>
          <w:numId w:val="11"/>
        </w:numPr>
        <w:autoSpaceDE w:val="0"/>
        <w:autoSpaceDN w:val="0"/>
        <w:spacing w:line="360" w:lineRule="auto"/>
        <w:rPr>
          <w:rFonts w:ascii="Calibri" w:hAnsi="Calibri"/>
          <w:sz w:val="24"/>
        </w:rPr>
      </w:pPr>
      <w:r>
        <w:rPr>
          <w:rFonts w:hint="eastAsia" w:ascii="Calibri" w:hAnsi="Calibri"/>
          <w:sz w:val="24"/>
        </w:rPr>
        <w:t>电感</w:t>
      </w:r>
    </w:p>
    <w:p>
      <w:pPr>
        <w:numPr>
          <w:ilvl w:val="1"/>
          <w:numId w:val="11"/>
        </w:numPr>
        <w:autoSpaceDE w:val="0"/>
        <w:autoSpaceDN w:val="0"/>
        <w:spacing w:line="360" w:lineRule="auto"/>
        <w:rPr>
          <w:rFonts w:ascii="Calibri" w:hAnsi="Calibri"/>
          <w:sz w:val="24"/>
        </w:rPr>
      </w:pPr>
      <w:r>
        <w:rPr>
          <w:rFonts w:hint="eastAsia" w:ascii="Calibri" w:hAnsi="Calibri"/>
          <w:sz w:val="24"/>
        </w:rPr>
        <w:t>电容</w:t>
      </w:r>
    </w:p>
    <w:p>
      <w:pPr>
        <w:numPr>
          <w:ilvl w:val="0"/>
          <w:numId w:val="11"/>
        </w:numPr>
        <w:autoSpaceDE w:val="0"/>
        <w:autoSpaceDN w:val="0"/>
        <w:spacing w:line="360" w:lineRule="auto"/>
        <w:rPr>
          <w:rFonts w:ascii="Calibri" w:hAnsi="Calibri"/>
          <w:sz w:val="24"/>
        </w:rPr>
      </w:pPr>
      <w:r>
        <w:rPr>
          <w:rFonts w:hint="eastAsia" w:ascii="Calibri" w:hAnsi="Calibri"/>
          <w:sz w:val="24"/>
        </w:rPr>
        <w:t>输入电压</w:t>
      </w:r>
      <w:r>
        <w:rPr>
          <w:rFonts w:ascii="宋体" w:hAnsi="宋体"/>
          <w:sz w:val="24"/>
        </w:rPr>
        <w:t>V1 V2 V3</w:t>
      </w:r>
      <w:r>
        <w:rPr>
          <w:rFonts w:hint="eastAsia" w:ascii="宋体" w:hAnsi="宋体"/>
          <w:sz w:val="24"/>
        </w:rPr>
        <w:t>测量</w:t>
      </w:r>
    </w:p>
    <w:p>
      <w:pPr>
        <w:numPr>
          <w:ilvl w:val="0"/>
          <w:numId w:val="11"/>
        </w:numPr>
        <w:autoSpaceDE w:val="0"/>
        <w:autoSpaceDN w:val="0"/>
        <w:spacing w:line="360" w:lineRule="auto"/>
        <w:rPr>
          <w:rFonts w:ascii="Calibri" w:hAnsi="Calibri"/>
          <w:sz w:val="24"/>
        </w:rPr>
      </w:pPr>
      <w:r>
        <w:rPr>
          <w:rFonts w:hint="eastAsia" w:ascii="Calibri" w:hAnsi="Calibri"/>
          <w:sz w:val="24"/>
        </w:rPr>
        <w:t>电容器的电流</w:t>
      </w:r>
    </w:p>
    <w:p>
      <w:pPr>
        <w:spacing w:line="360" w:lineRule="auto"/>
        <w:rPr>
          <w:rFonts w:ascii="Calibri" w:hAnsi="Calibri"/>
          <w:b/>
          <w:sz w:val="24"/>
        </w:rPr>
      </w:pPr>
      <w:r>
        <w:rPr>
          <w:rFonts w:ascii="宋体" w:hAnsi="宋体"/>
          <w:b/>
          <w:sz w:val="24"/>
        </w:rPr>
        <w:t>UPS</w:t>
      </w:r>
      <w:r>
        <w:rPr>
          <w:rFonts w:hint="eastAsia" w:ascii="宋体" w:hAnsi="宋体"/>
          <w:b/>
          <w:sz w:val="24"/>
        </w:rPr>
        <w:t>工作情况</w:t>
      </w:r>
      <w:r>
        <w:rPr>
          <w:rFonts w:hint="eastAsia" w:ascii="Calibri" w:hAnsi="Calibri"/>
          <w:b/>
          <w:sz w:val="24"/>
        </w:rPr>
        <w:t>的检查</w:t>
      </w:r>
    </w:p>
    <w:p>
      <w:pPr>
        <w:autoSpaceDE w:val="0"/>
        <w:autoSpaceDN w:val="0"/>
        <w:adjustRightInd w:val="0"/>
        <w:spacing w:line="360" w:lineRule="auto"/>
        <w:ind w:left="420"/>
        <w:rPr>
          <w:rFonts w:ascii="Calibri" w:hAnsi="Calibri"/>
          <w:sz w:val="24"/>
        </w:rPr>
      </w:pPr>
      <w:r>
        <w:rPr>
          <w:rFonts w:hint="eastAsia" w:ascii="Calibri" w:hAnsi="Calibri"/>
          <w:sz w:val="24"/>
        </w:rPr>
        <w:t>整流器</w:t>
      </w:r>
      <w:r>
        <w:rPr>
          <w:rFonts w:ascii="Calibri" w:hAnsi="Calibri"/>
          <w:sz w:val="24"/>
        </w:rPr>
        <w:t>/</w:t>
      </w:r>
      <w:r>
        <w:rPr>
          <w:rFonts w:hint="eastAsia" w:ascii="Calibri" w:hAnsi="Calibri"/>
          <w:sz w:val="24"/>
        </w:rPr>
        <w:t>充电器</w:t>
      </w:r>
    </w:p>
    <w:p>
      <w:pPr>
        <w:numPr>
          <w:ilvl w:val="0"/>
          <w:numId w:val="12"/>
        </w:numPr>
        <w:autoSpaceDE w:val="0"/>
        <w:autoSpaceDN w:val="0"/>
        <w:spacing w:line="360" w:lineRule="auto"/>
        <w:rPr>
          <w:rFonts w:ascii="Calibri" w:hAnsi="Calibri"/>
          <w:sz w:val="24"/>
        </w:rPr>
      </w:pPr>
      <w:r>
        <w:rPr>
          <w:rFonts w:hint="eastAsia" w:ascii="Calibri" w:hAnsi="Calibri"/>
          <w:sz w:val="24"/>
        </w:rPr>
        <w:t>物理检查</w:t>
      </w:r>
    </w:p>
    <w:p>
      <w:pPr>
        <w:numPr>
          <w:ilvl w:val="2"/>
          <w:numId w:val="13"/>
        </w:numPr>
        <w:autoSpaceDE w:val="0"/>
        <w:autoSpaceDN w:val="0"/>
        <w:spacing w:line="360" w:lineRule="auto"/>
        <w:rPr>
          <w:rFonts w:ascii="Calibri" w:hAnsi="Calibri"/>
          <w:sz w:val="24"/>
        </w:rPr>
      </w:pPr>
      <w:r>
        <w:rPr>
          <w:rFonts w:hint="eastAsia" w:ascii="Calibri" w:hAnsi="Calibri"/>
          <w:sz w:val="24"/>
        </w:rPr>
        <w:t>电抗</w:t>
      </w:r>
    </w:p>
    <w:p>
      <w:pPr>
        <w:numPr>
          <w:ilvl w:val="2"/>
          <w:numId w:val="13"/>
        </w:numPr>
        <w:autoSpaceDE w:val="0"/>
        <w:autoSpaceDN w:val="0"/>
        <w:spacing w:line="360" w:lineRule="auto"/>
        <w:rPr>
          <w:rFonts w:ascii="Calibri" w:hAnsi="Calibri"/>
          <w:sz w:val="24"/>
        </w:rPr>
      </w:pPr>
      <w:r>
        <w:rPr>
          <w:rFonts w:hint="eastAsia" w:ascii="Calibri" w:hAnsi="Calibri"/>
          <w:sz w:val="24"/>
        </w:rPr>
        <w:t>功率连接的紧密程度（过热、氧化）</w:t>
      </w:r>
    </w:p>
    <w:p>
      <w:pPr>
        <w:numPr>
          <w:ilvl w:val="2"/>
          <w:numId w:val="13"/>
        </w:numPr>
        <w:autoSpaceDE w:val="0"/>
        <w:autoSpaceDN w:val="0"/>
        <w:spacing w:line="360" w:lineRule="auto"/>
        <w:rPr>
          <w:rFonts w:ascii="Calibri" w:hAnsi="Calibri"/>
          <w:sz w:val="24"/>
        </w:rPr>
      </w:pPr>
      <w:r>
        <w:rPr>
          <w:rFonts w:hint="eastAsia" w:ascii="Calibri" w:hAnsi="Calibri"/>
          <w:sz w:val="24"/>
        </w:rPr>
        <w:t>信号线连接的紧密情况</w:t>
      </w:r>
    </w:p>
    <w:p>
      <w:pPr>
        <w:numPr>
          <w:ilvl w:val="2"/>
          <w:numId w:val="13"/>
        </w:numPr>
        <w:autoSpaceDE w:val="0"/>
        <w:autoSpaceDN w:val="0"/>
        <w:spacing w:line="360" w:lineRule="auto"/>
        <w:rPr>
          <w:rFonts w:ascii="Calibri" w:hAnsi="Calibri"/>
          <w:sz w:val="24"/>
        </w:rPr>
      </w:pPr>
      <w:r>
        <w:rPr>
          <w:rFonts w:hint="eastAsia" w:ascii="Calibri" w:hAnsi="Calibri"/>
          <w:sz w:val="24"/>
        </w:rPr>
        <w:t>板及附件的情况</w:t>
      </w:r>
    </w:p>
    <w:p>
      <w:pPr>
        <w:numPr>
          <w:ilvl w:val="2"/>
          <w:numId w:val="13"/>
        </w:numPr>
        <w:autoSpaceDE w:val="0"/>
        <w:autoSpaceDN w:val="0"/>
        <w:spacing w:line="360" w:lineRule="auto"/>
        <w:rPr>
          <w:rFonts w:ascii="Calibri" w:hAnsi="Calibri"/>
          <w:sz w:val="24"/>
        </w:rPr>
      </w:pPr>
      <w:r>
        <w:rPr>
          <w:rFonts w:hint="eastAsia" w:ascii="Calibri" w:hAnsi="Calibri"/>
          <w:sz w:val="24"/>
        </w:rPr>
        <w:t>风扇</w:t>
      </w:r>
    </w:p>
    <w:p>
      <w:pPr>
        <w:numPr>
          <w:ilvl w:val="0"/>
          <w:numId w:val="12"/>
        </w:numPr>
        <w:autoSpaceDE w:val="0"/>
        <w:autoSpaceDN w:val="0"/>
        <w:spacing w:line="360" w:lineRule="auto"/>
        <w:rPr>
          <w:rFonts w:ascii="宋体" w:hAnsi="宋体"/>
          <w:sz w:val="24"/>
        </w:rPr>
      </w:pPr>
      <w:r>
        <w:rPr>
          <w:rFonts w:hint="eastAsia" w:ascii="Calibri" w:hAnsi="Calibri"/>
          <w:sz w:val="24"/>
        </w:rPr>
        <w:t>输入电</w:t>
      </w:r>
      <w:r>
        <w:rPr>
          <w:rFonts w:hint="eastAsia" w:ascii="宋体" w:hAnsi="宋体"/>
          <w:sz w:val="24"/>
        </w:rPr>
        <w:t>压：</w:t>
      </w:r>
      <w:r>
        <w:rPr>
          <w:rFonts w:ascii="宋体" w:hAnsi="宋体"/>
          <w:sz w:val="24"/>
        </w:rPr>
        <w:t>U1-2</w:t>
      </w:r>
      <w:r>
        <w:rPr>
          <w:rFonts w:hint="eastAsia" w:ascii="宋体" w:hAnsi="宋体"/>
          <w:sz w:val="24"/>
        </w:rPr>
        <w:t>，</w:t>
      </w:r>
      <w:r>
        <w:rPr>
          <w:rFonts w:ascii="宋体" w:hAnsi="宋体"/>
          <w:sz w:val="24"/>
        </w:rPr>
        <w:t>U2-3</w:t>
      </w:r>
      <w:r>
        <w:rPr>
          <w:rFonts w:hint="eastAsia" w:ascii="宋体" w:hAnsi="宋体"/>
          <w:sz w:val="24"/>
        </w:rPr>
        <w:t>，</w:t>
      </w:r>
      <w:r>
        <w:rPr>
          <w:rFonts w:ascii="宋体" w:hAnsi="宋体"/>
          <w:sz w:val="24"/>
        </w:rPr>
        <w:t>U3-1</w:t>
      </w:r>
    </w:p>
    <w:p>
      <w:pPr>
        <w:numPr>
          <w:ilvl w:val="1"/>
          <w:numId w:val="12"/>
        </w:numPr>
        <w:autoSpaceDE w:val="0"/>
        <w:autoSpaceDN w:val="0"/>
        <w:spacing w:line="360" w:lineRule="auto"/>
        <w:rPr>
          <w:rFonts w:ascii="Calibri" w:hAnsi="Calibri"/>
          <w:sz w:val="24"/>
        </w:rPr>
      </w:pPr>
      <w:r>
        <w:rPr>
          <w:rFonts w:hint="eastAsia" w:ascii="Calibri" w:hAnsi="Calibri"/>
          <w:sz w:val="24"/>
        </w:rPr>
        <w:t>谐波含量</w:t>
      </w:r>
    </w:p>
    <w:p>
      <w:pPr>
        <w:numPr>
          <w:ilvl w:val="1"/>
          <w:numId w:val="12"/>
        </w:numPr>
        <w:autoSpaceDE w:val="0"/>
        <w:autoSpaceDN w:val="0"/>
        <w:spacing w:line="360" w:lineRule="auto"/>
        <w:rPr>
          <w:rFonts w:ascii="Calibri" w:hAnsi="Calibri"/>
          <w:sz w:val="24"/>
        </w:rPr>
      </w:pPr>
      <w:r>
        <w:rPr>
          <w:rFonts w:hint="eastAsia" w:ascii="Calibri" w:hAnsi="Calibri"/>
          <w:sz w:val="24"/>
        </w:rPr>
        <w:t>幅值</w:t>
      </w:r>
      <w:r>
        <w:rPr>
          <w:rFonts w:ascii="宋体" w:hAnsi="宋体"/>
          <w:sz w:val="24"/>
        </w:rPr>
        <w:t>URMS</w:t>
      </w:r>
    </w:p>
    <w:p>
      <w:pPr>
        <w:numPr>
          <w:ilvl w:val="0"/>
          <w:numId w:val="12"/>
        </w:numPr>
        <w:autoSpaceDE w:val="0"/>
        <w:autoSpaceDN w:val="0"/>
        <w:spacing w:line="360" w:lineRule="auto"/>
        <w:rPr>
          <w:rFonts w:ascii="Calibri" w:hAnsi="Calibri"/>
          <w:sz w:val="24"/>
        </w:rPr>
      </w:pPr>
      <w:r>
        <w:rPr>
          <w:rFonts w:hint="eastAsia" w:ascii="Calibri" w:hAnsi="Calibri"/>
          <w:sz w:val="24"/>
        </w:rPr>
        <w:t>充电电压的测量</w:t>
      </w:r>
    </w:p>
    <w:p>
      <w:pPr>
        <w:numPr>
          <w:ilvl w:val="1"/>
          <w:numId w:val="12"/>
        </w:numPr>
        <w:autoSpaceDE w:val="0"/>
        <w:autoSpaceDN w:val="0"/>
        <w:spacing w:line="360" w:lineRule="auto"/>
        <w:rPr>
          <w:rFonts w:ascii="Calibri" w:hAnsi="Calibri"/>
          <w:sz w:val="24"/>
        </w:rPr>
      </w:pPr>
      <w:r>
        <w:rPr>
          <w:rFonts w:hint="eastAsia" w:ascii="Calibri" w:hAnsi="Calibri"/>
          <w:sz w:val="24"/>
        </w:rPr>
        <w:t>直流电压</w:t>
      </w:r>
    </w:p>
    <w:p>
      <w:pPr>
        <w:numPr>
          <w:ilvl w:val="1"/>
          <w:numId w:val="12"/>
        </w:numPr>
        <w:autoSpaceDE w:val="0"/>
        <w:autoSpaceDN w:val="0"/>
        <w:spacing w:line="360" w:lineRule="auto"/>
        <w:rPr>
          <w:rFonts w:ascii="Calibri" w:hAnsi="Calibri"/>
          <w:sz w:val="24"/>
        </w:rPr>
      </w:pPr>
      <w:r>
        <w:rPr>
          <w:rFonts w:hint="eastAsia" w:ascii="Calibri" w:hAnsi="Calibri"/>
          <w:sz w:val="24"/>
        </w:rPr>
        <w:t>纹波的测量</w:t>
      </w:r>
    </w:p>
    <w:p>
      <w:pPr>
        <w:numPr>
          <w:ilvl w:val="0"/>
          <w:numId w:val="12"/>
        </w:numPr>
        <w:autoSpaceDE w:val="0"/>
        <w:autoSpaceDN w:val="0"/>
        <w:spacing w:line="360" w:lineRule="auto"/>
        <w:rPr>
          <w:rFonts w:ascii="Calibri" w:hAnsi="Calibri"/>
          <w:sz w:val="24"/>
        </w:rPr>
      </w:pPr>
      <w:r>
        <w:rPr>
          <w:rFonts w:hint="eastAsia" w:ascii="Calibri" w:hAnsi="Calibri"/>
          <w:sz w:val="24"/>
        </w:rPr>
        <w:t>校验情况</w:t>
      </w:r>
    </w:p>
    <w:p>
      <w:pPr>
        <w:autoSpaceDE w:val="0"/>
        <w:autoSpaceDN w:val="0"/>
        <w:adjustRightInd w:val="0"/>
        <w:spacing w:line="360" w:lineRule="auto"/>
        <w:ind w:left="420"/>
        <w:rPr>
          <w:rFonts w:ascii="Calibri" w:hAnsi="Calibri"/>
          <w:sz w:val="24"/>
        </w:rPr>
      </w:pPr>
      <w:r>
        <w:rPr>
          <w:rFonts w:hint="eastAsia" w:ascii="Calibri" w:hAnsi="Calibri"/>
          <w:sz w:val="24"/>
        </w:rPr>
        <w:t>逆变器：</w:t>
      </w:r>
    </w:p>
    <w:p>
      <w:pPr>
        <w:numPr>
          <w:ilvl w:val="0"/>
          <w:numId w:val="14"/>
        </w:numPr>
        <w:autoSpaceDE w:val="0"/>
        <w:autoSpaceDN w:val="0"/>
        <w:spacing w:line="360" w:lineRule="auto"/>
        <w:rPr>
          <w:rFonts w:ascii="Calibri" w:hAnsi="Calibri"/>
          <w:sz w:val="24"/>
        </w:rPr>
      </w:pPr>
      <w:r>
        <w:rPr>
          <w:rFonts w:hint="eastAsia" w:ascii="Calibri" w:hAnsi="Calibri"/>
          <w:sz w:val="24"/>
        </w:rPr>
        <w:t>物理检查</w:t>
      </w:r>
    </w:p>
    <w:p>
      <w:pPr>
        <w:numPr>
          <w:ilvl w:val="2"/>
          <w:numId w:val="13"/>
        </w:numPr>
        <w:autoSpaceDE w:val="0"/>
        <w:autoSpaceDN w:val="0"/>
        <w:spacing w:line="360" w:lineRule="auto"/>
        <w:rPr>
          <w:rFonts w:ascii="Calibri" w:hAnsi="Calibri"/>
          <w:sz w:val="24"/>
        </w:rPr>
      </w:pPr>
      <w:r>
        <w:rPr>
          <w:rFonts w:hint="eastAsia" w:ascii="Calibri" w:hAnsi="Calibri"/>
          <w:sz w:val="24"/>
        </w:rPr>
        <w:t>电抗</w:t>
      </w:r>
    </w:p>
    <w:p>
      <w:pPr>
        <w:numPr>
          <w:ilvl w:val="2"/>
          <w:numId w:val="13"/>
        </w:numPr>
        <w:autoSpaceDE w:val="0"/>
        <w:autoSpaceDN w:val="0"/>
        <w:spacing w:line="360" w:lineRule="auto"/>
        <w:rPr>
          <w:rFonts w:ascii="Calibri" w:hAnsi="Calibri"/>
          <w:sz w:val="24"/>
        </w:rPr>
      </w:pPr>
      <w:r>
        <w:rPr>
          <w:rFonts w:hint="eastAsia" w:ascii="Calibri" w:hAnsi="Calibri"/>
          <w:sz w:val="24"/>
        </w:rPr>
        <w:t>功率连接的紧密程度（过热、氧化）</w:t>
      </w:r>
    </w:p>
    <w:p>
      <w:pPr>
        <w:numPr>
          <w:ilvl w:val="2"/>
          <w:numId w:val="13"/>
        </w:numPr>
        <w:autoSpaceDE w:val="0"/>
        <w:autoSpaceDN w:val="0"/>
        <w:spacing w:line="360" w:lineRule="auto"/>
        <w:rPr>
          <w:rFonts w:ascii="Calibri" w:hAnsi="Calibri"/>
          <w:sz w:val="24"/>
        </w:rPr>
      </w:pPr>
      <w:r>
        <w:rPr>
          <w:rFonts w:hint="eastAsia" w:ascii="Calibri" w:hAnsi="Calibri"/>
          <w:sz w:val="24"/>
        </w:rPr>
        <w:t>信号线连接的紧密情况</w:t>
      </w:r>
    </w:p>
    <w:p>
      <w:pPr>
        <w:numPr>
          <w:ilvl w:val="2"/>
          <w:numId w:val="13"/>
        </w:numPr>
        <w:autoSpaceDE w:val="0"/>
        <w:autoSpaceDN w:val="0"/>
        <w:spacing w:line="360" w:lineRule="auto"/>
        <w:rPr>
          <w:rFonts w:ascii="Calibri" w:hAnsi="Calibri"/>
          <w:sz w:val="24"/>
        </w:rPr>
      </w:pPr>
      <w:r>
        <w:rPr>
          <w:rFonts w:hint="eastAsia" w:ascii="Calibri" w:hAnsi="Calibri"/>
          <w:sz w:val="24"/>
        </w:rPr>
        <w:t>板及附件的情况</w:t>
      </w:r>
    </w:p>
    <w:p>
      <w:pPr>
        <w:numPr>
          <w:ilvl w:val="2"/>
          <w:numId w:val="13"/>
        </w:numPr>
        <w:autoSpaceDE w:val="0"/>
        <w:autoSpaceDN w:val="0"/>
        <w:spacing w:line="360" w:lineRule="auto"/>
        <w:rPr>
          <w:rFonts w:ascii="Calibri" w:hAnsi="Calibri"/>
          <w:sz w:val="24"/>
        </w:rPr>
      </w:pPr>
      <w:r>
        <w:rPr>
          <w:rFonts w:hint="eastAsia" w:ascii="Calibri" w:hAnsi="Calibri"/>
          <w:sz w:val="24"/>
        </w:rPr>
        <w:t>风扇</w:t>
      </w:r>
    </w:p>
    <w:p>
      <w:pPr>
        <w:numPr>
          <w:ilvl w:val="2"/>
          <w:numId w:val="13"/>
        </w:numPr>
        <w:autoSpaceDE w:val="0"/>
        <w:autoSpaceDN w:val="0"/>
        <w:spacing w:line="360" w:lineRule="auto"/>
        <w:rPr>
          <w:rFonts w:ascii="Calibri" w:hAnsi="Calibri"/>
          <w:sz w:val="24"/>
        </w:rPr>
      </w:pPr>
      <w:r>
        <w:rPr>
          <w:rFonts w:hint="eastAsia" w:ascii="Calibri" w:hAnsi="Calibri"/>
          <w:sz w:val="24"/>
        </w:rPr>
        <w:t>机柜的清洁</w:t>
      </w:r>
    </w:p>
    <w:p>
      <w:pPr>
        <w:numPr>
          <w:ilvl w:val="2"/>
          <w:numId w:val="13"/>
        </w:numPr>
        <w:autoSpaceDE w:val="0"/>
        <w:autoSpaceDN w:val="0"/>
        <w:spacing w:line="360" w:lineRule="auto"/>
        <w:rPr>
          <w:rFonts w:ascii="Calibri" w:hAnsi="Calibri"/>
          <w:sz w:val="24"/>
        </w:rPr>
      </w:pPr>
      <w:r>
        <w:rPr>
          <w:rFonts w:hint="eastAsia" w:ascii="Calibri" w:hAnsi="Calibri"/>
          <w:sz w:val="24"/>
        </w:rPr>
        <w:t>直流电容情况</w:t>
      </w:r>
    </w:p>
    <w:p>
      <w:pPr>
        <w:numPr>
          <w:ilvl w:val="2"/>
          <w:numId w:val="13"/>
        </w:numPr>
        <w:autoSpaceDE w:val="0"/>
        <w:autoSpaceDN w:val="0"/>
        <w:spacing w:line="360" w:lineRule="auto"/>
        <w:rPr>
          <w:rFonts w:ascii="Calibri" w:hAnsi="Calibri"/>
          <w:sz w:val="24"/>
        </w:rPr>
      </w:pPr>
      <w:r>
        <w:rPr>
          <w:rFonts w:hint="eastAsia" w:ascii="Calibri" w:hAnsi="Calibri"/>
          <w:sz w:val="24"/>
        </w:rPr>
        <w:t>直流电容上次更换的日期</w:t>
      </w:r>
    </w:p>
    <w:p>
      <w:pPr>
        <w:numPr>
          <w:ilvl w:val="0"/>
          <w:numId w:val="14"/>
        </w:numPr>
        <w:autoSpaceDE w:val="0"/>
        <w:autoSpaceDN w:val="0"/>
        <w:spacing w:line="360" w:lineRule="auto"/>
        <w:rPr>
          <w:rFonts w:ascii="宋体" w:hAnsi="宋体"/>
          <w:sz w:val="24"/>
        </w:rPr>
      </w:pPr>
      <w:r>
        <w:rPr>
          <w:rFonts w:hint="eastAsia" w:ascii="Calibri" w:hAnsi="Calibri"/>
          <w:sz w:val="24"/>
        </w:rPr>
        <w:t>逆变器电压的测量</w:t>
      </w:r>
      <w:r>
        <w:rPr>
          <w:rFonts w:hint="eastAsia" w:ascii="宋体" w:hAnsi="宋体"/>
          <w:sz w:val="24"/>
        </w:rPr>
        <w:t>：</w:t>
      </w:r>
      <w:r>
        <w:rPr>
          <w:rFonts w:ascii="宋体" w:hAnsi="宋体"/>
          <w:sz w:val="24"/>
        </w:rPr>
        <w:t>V1</w:t>
      </w:r>
      <w:r>
        <w:rPr>
          <w:rFonts w:hint="eastAsia" w:ascii="宋体" w:hAnsi="宋体"/>
          <w:sz w:val="24"/>
        </w:rPr>
        <w:t>，</w:t>
      </w:r>
      <w:r>
        <w:rPr>
          <w:rFonts w:ascii="宋体" w:hAnsi="宋体"/>
          <w:sz w:val="24"/>
        </w:rPr>
        <w:t>V2</w:t>
      </w:r>
      <w:r>
        <w:rPr>
          <w:rFonts w:hint="eastAsia" w:ascii="宋体" w:hAnsi="宋体"/>
          <w:sz w:val="24"/>
        </w:rPr>
        <w:t>，</w:t>
      </w:r>
      <w:r>
        <w:rPr>
          <w:rFonts w:ascii="宋体" w:hAnsi="宋体"/>
          <w:sz w:val="24"/>
        </w:rPr>
        <w:t>V3</w:t>
      </w:r>
      <w:r>
        <w:rPr>
          <w:rFonts w:hint="eastAsia" w:ascii="宋体" w:hAnsi="宋体"/>
          <w:sz w:val="24"/>
        </w:rPr>
        <w:t>，</w:t>
      </w:r>
      <w:r>
        <w:rPr>
          <w:rFonts w:ascii="宋体" w:hAnsi="宋体"/>
          <w:sz w:val="24"/>
        </w:rPr>
        <w:t>U1-2</w:t>
      </w:r>
      <w:r>
        <w:rPr>
          <w:rFonts w:hint="eastAsia" w:ascii="宋体" w:hAnsi="宋体"/>
          <w:sz w:val="24"/>
        </w:rPr>
        <w:t>，</w:t>
      </w:r>
      <w:r>
        <w:rPr>
          <w:rFonts w:ascii="宋体" w:hAnsi="宋体"/>
          <w:sz w:val="24"/>
        </w:rPr>
        <w:t>U2-3</w:t>
      </w:r>
      <w:r>
        <w:rPr>
          <w:rFonts w:hint="eastAsia" w:ascii="宋体" w:hAnsi="宋体"/>
          <w:sz w:val="24"/>
        </w:rPr>
        <w:t>，</w:t>
      </w:r>
      <w:r>
        <w:rPr>
          <w:rFonts w:ascii="宋体" w:hAnsi="宋体"/>
          <w:sz w:val="24"/>
        </w:rPr>
        <w:t>U3-1</w:t>
      </w:r>
    </w:p>
    <w:p>
      <w:pPr>
        <w:numPr>
          <w:ilvl w:val="0"/>
          <w:numId w:val="14"/>
        </w:numPr>
        <w:autoSpaceDE w:val="0"/>
        <w:autoSpaceDN w:val="0"/>
        <w:spacing w:line="360" w:lineRule="auto"/>
        <w:rPr>
          <w:rFonts w:ascii="Calibri" w:hAnsi="Calibri"/>
          <w:sz w:val="24"/>
        </w:rPr>
      </w:pPr>
      <w:r>
        <w:rPr>
          <w:rFonts w:hint="eastAsia" w:ascii="Calibri" w:hAnsi="Calibri"/>
          <w:sz w:val="24"/>
        </w:rPr>
        <w:t>逆变器电流的控制</w:t>
      </w:r>
    </w:p>
    <w:p>
      <w:pPr>
        <w:numPr>
          <w:ilvl w:val="1"/>
          <w:numId w:val="14"/>
        </w:numPr>
        <w:autoSpaceDE w:val="0"/>
        <w:autoSpaceDN w:val="0"/>
        <w:spacing w:line="360" w:lineRule="auto"/>
        <w:rPr>
          <w:rFonts w:ascii="Calibri" w:hAnsi="Calibri"/>
          <w:sz w:val="24"/>
        </w:rPr>
      </w:pPr>
      <w:r>
        <w:rPr>
          <w:rFonts w:hint="eastAsia" w:ascii="Calibri" w:hAnsi="Calibri"/>
          <w:sz w:val="24"/>
        </w:rPr>
        <w:t>每个逆变器支路的电流波形</w:t>
      </w:r>
    </w:p>
    <w:p>
      <w:pPr>
        <w:numPr>
          <w:ilvl w:val="0"/>
          <w:numId w:val="14"/>
        </w:numPr>
        <w:autoSpaceDE w:val="0"/>
        <w:autoSpaceDN w:val="0"/>
        <w:spacing w:line="360" w:lineRule="auto"/>
        <w:rPr>
          <w:rFonts w:ascii="宋体" w:hAnsi="宋体"/>
          <w:sz w:val="24"/>
        </w:rPr>
      </w:pPr>
      <w:r>
        <w:rPr>
          <w:rFonts w:hint="eastAsia" w:ascii="Calibri" w:hAnsi="Calibri"/>
          <w:sz w:val="24"/>
        </w:rPr>
        <w:t>输出电压的测量</w:t>
      </w:r>
      <w:r>
        <w:rPr>
          <w:rFonts w:hint="eastAsia" w:ascii="宋体" w:hAnsi="宋体"/>
          <w:sz w:val="24"/>
        </w:rPr>
        <w:t>：</w:t>
      </w:r>
      <w:r>
        <w:rPr>
          <w:rFonts w:ascii="宋体" w:hAnsi="宋体"/>
          <w:sz w:val="24"/>
        </w:rPr>
        <w:t>V1</w:t>
      </w:r>
      <w:r>
        <w:rPr>
          <w:rFonts w:hint="eastAsia" w:ascii="宋体" w:hAnsi="宋体"/>
          <w:sz w:val="24"/>
        </w:rPr>
        <w:t>，</w:t>
      </w:r>
      <w:r>
        <w:rPr>
          <w:rFonts w:ascii="宋体" w:hAnsi="宋体"/>
          <w:sz w:val="24"/>
        </w:rPr>
        <w:t>V2</w:t>
      </w:r>
      <w:r>
        <w:rPr>
          <w:rFonts w:hint="eastAsia" w:ascii="宋体" w:hAnsi="宋体"/>
          <w:sz w:val="24"/>
        </w:rPr>
        <w:t>，</w:t>
      </w:r>
      <w:r>
        <w:rPr>
          <w:rFonts w:ascii="宋体" w:hAnsi="宋体"/>
          <w:sz w:val="24"/>
        </w:rPr>
        <w:t>V3</w:t>
      </w:r>
      <w:r>
        <w:rPr>
          <w:rFonts w:hint="eastAsia" w:ascii="宋体" w:hAnsi="宋体"/>
          <w:sz w:val="24"/>
        </w:rPr>
        <w:t>，</w:t>
      </w:r>
      <w:r>
        <w:rPr>
          <w:rFonts w:ascii="宋体" w:hAnsi="宋体"/>
          <w:sz w:val="24"/>
        </w:rPr>
        <w:t>U1-2</w:t>
      </w:r>
      <w:r>
        <w:rPr>
          <w:rFonts w:hint="eastAsia" w:ascii="宋体" w:hAnsi="宋体"/>
          <w:sz w:val="24"/>
        </w:rPr>
        <w:t>，</w:t>
      </w:r>
      <w:r>
        <w:rPr>
          <w:rFonts w:ascii="宋体" w:hAnsi="宋体"/>
          <w:sz w:val="24"/>
        </w:rPr>
        <w:t>U2-3</w:t>
      </w:r>
      <w:r>
        <w:rPr>
          <w:rFonts w:hint="eastAsia" w:ascii="宋体" w:hAnsi="宋体"/>
          <w:sz w:val="24"/>
        </w:rPr>
        <w:t>，</w:t>
      </w:r>
      <w:r>
        <w:rPr>
          <w:rFonts w:ascii="宋体" w:hAnsi="宋体"/>
          <w:sz w:val="24"/>
        </w:rPr>
        <w:t>U3-1</w:t>
      </w:r>
    </w:p>
    <w:p>
      <w:pPr>
        <w:numPr>
          <w:ilvl w:val="0"/>
          <w:numId w:val="14"/>
        </w:numPr>
        <w:autoSpaceDE w:val="0"/>
        <w:autoSpaceDN w:val="0"/>
        <w:spacing w:line="360" w:lineRule="auto"/>
        <w:rPr>
          <w:rFonts w:ascii="宋体" w:hAnsi="宋体"/>
          <w:sz w:val="24"/>
        </w:rPr>
      </w:pPr>
      <w:r>
        <w:rPr>
          <w:rFonts w:hint="eastAsia" w:ascii="宋体" w:hAnsi="宋体"/>
          <w:sz w:val="24"/>
        </w:rPr>
        <w:t>输出电流的测量：</w:t>
      </w:r>
      <w:r>
        <w:rPr>
          <w:rFonts w:ascii="宋体" w:hAnsi="宋体"/>
          <w:sz w:val="24"/>
        </w:rPr>
        <w:t>I1</w:t>
      </w:r>
      <w:r>
        <w:rPr>
          <w:rFonts w:hint="eastAsia" w:ascii="宋体" w:hAnsi="宋体"/>
          <w:sz w:val="24"/>
        </w:rPr>
        <w:t>，</w:t>
      </w:r>
      <w:r>
        <w:rPr>
          <w:rFonts w:ascii="宋体" w:hAnsi="宋体"/>
          <w:sz w:val="24"/>
        </w:rPr>
        <w:t>I2</w:t>
      </w:r>
      <w:r>
        <w:rPr>
          <w:rFonts w:hint="eastAsia" w:ascii="宋体" w:hAnsi="宋体"/>
          <w:sz w:val="24"/>
        </w:rPr>
        <w:t>，</w:t>
      </w:r>
      <w:r>
        <w:rPr>
          <w:rFonts w:ascii="宋体" w:hAnsi="宋体"/>
          <w:sz w:val="24"/>
        </w:rPr>
        <w:t>I3</w:t>
      </w:r>
    </w:p>
    <w:p>
      <w:pPr>
        <w:numPr>
          <w:ilvl w:val="0"/>
          <w:numId w:val="15"/>
        </w:numPr>
        <w:autoSpaceDE w:val="0"/>
        <w:autoSpaceDN w:val="0"/>
        <w:spacing w:line="360" w:lineRule="auto"/>
        <w:rPr>
          <w:rFonts w:ascii="Calibri" w:hAnsi="Calibri"/>
          <w:sz w:val="24"/>
        </w:rPr>
      </w:pPr>
      <w:r>
        <w:rPr>
          <w:rFonts w:hint="eastAsia" w:ascii="Calibri" w:hAnsi="Calibri"/>
          <w:sz w:val="24"/>
        </w:rPr>
        <w:t>峰值</w:t>
      </w:r>
    </w:p>
    <w:p>
      <w:pPr>
        <w:numPr>
          <w:ilvl w:val="0"/>
          <w:numId w:val="15"/>
        </w:numPr>
        <w:autoSpaceDE w:val="0"/>
        <w:autoSpaceDN w:val="0"/>
        <w:spacing w:line="360" w:lineRule="auto"/>
        <w:rPr>
          <w:rFonts w:ascii="Calibri" w:hAnsi="Calibri"/>
          <w:sz w:val="24"/>
        </w:rPr>
      </w:pPr>
      <w:r>
        <w:rPr>
          <w:rFonts w:hint="eastAsia" w:ascii="Calibri" w:hAnsi="Calibri"/>
          <w:sz w:val="24"/>
        </w:rPr>
        <w:t>峰值因数</w:t>
      </w:r>
    </w:p>
    <w:p>
      <w:pPr>
        <w:numPr>
          <w:ilvl w:val="0"/>
          <w:numId w:val="14"/>
        </w:numPr>
        <w:autoSpaceDE w:val="0"/>
        <w:autoSpaceDN w:val="0"/>
        <w:spacing w:line="360" w:lineRule="auto"/>
        <w:rPr>
          <w:rFonts w:ascii="Calibri" w:hAnsi="Calibri"/>
          <w:sz w:val="24"/>
        </w:rPr>
      </w:pPr>
      <w:r>
        <w:rPr>
          <w:rFonts w:hint="eastAsia" w:ascii="Calibri" w:hAnsi="Calibri"/>
          <w:sz w:val="24"/>
        </w:rPr>
        <w:t>校验情况</w:t>
      </w:r>
    </w:p>
    <w:p>
      <w:pPr>
        <w:autoSpaceDE w:val="0"/>
        <w:autoSpaceDN w:val="0"/>
        <w:adjustRightInd w:val="0"/>
        <w:spacing w:line="360" w:lineRule="auto"/>
        <w:rPr>
          <w:rFonts w:ascii="Calibri" w:hAnsi="Calibri"/>
          <w:b/>
          <w:sz w:val="24"/>
        </w:rPr>
      </w:pPr>
      <w:r>
        <w:rPr>
          <w:rFonts w:hint="eastAsia" w:ascii="Calibri" w:hAnsi="Calibri"/>
          <w:b/>
          <w:sz w:val="24"/>
        </w:rPr>
        <w:t>电池的检查：</w:t>
      </w:r>
    </w:p>
    <w:p>
      <w:pPr>
        <w:numPr>
          <w:ilvl w:val="0"/>
          <w:numId w:val="16"/>
        </w:numPr>
        <w:autoSpaceDE w:val="0"/>
        <w:autoSpaceDN w:val="0"/>
        <w:spacing w:line="360" w:lineRule="auto"/>
        <w:rPr>
          <w:rFonts w:ascii="Calibri" w:hAnsi="Calibri"/>
          <w:sz w:val="24"/>
        </w:rPr>
      </w:pPr>
      <w:r>
        <w:rPr>
          <w:rFonts w:hint="eastAsia" w:ascii="Calibri" w:hAnsi="Calibri"/>
          <w:sz w:val="24"/>
        </w:rPr>
        <w:t>电池房温度的检查</w:t>
      </w:r>
    </w:p>
    <w:p>
      <w:pPr>
        <w:numPr>
          <w:ilvl w:val="0"/>
          <w:numId w:val="16"/>
        </w:numPr>
        <w:autoSpaceDE w:val="0"/>
        <w:autoSpaceDN w:val="0"/>
        <w:spacing w:line="360" w:lineRule="auto"/>
        <w:rPr>
          <w:rFonts w:ascii="Calibri" w:hAnsi="Calibri"/>
          <w:sz w:val="24"/>
        </w:rPr>
      </w:pPr>
      <w:r>
        <w:rPr>
          <w:rFonts w:hint="eastAsia" w:ascii="Calibri" w:hAnsi="Calibri"/>
          <w:sz w:val="24"/>
        </w:rPr>
        <w:t>电池绝缘情况</w:t>
      </w:r>
    </w:p>
    <w:p>
      <w:pPr>
        <w:numPr>
          <w:ilvl w:val="0"/>
          <w:numId w:val="16"/>
        </w:numPr>
        <w:autoSpaceDE w:val="0"/>
        <w:autoSpaceDN w:val="0"/>
        <w:spacing w:line="360" w:lineRule="auto"/>
        <w:rPr>
          <w:rFonts w:ascii="Calibri" w:hAnsi="Calibri"/>
          <w:sz w:val="24"/>
        </w:rPr>
      </w:pPr>
      <w:r>
        <w:rPr>
          <w:rFonts w:hint="eastAsia" w:ascii="Calibri" w:hAnsi="Calibri"/>
          <w:sz w:val="24"/>
        </w:rPr>
        <w:t>电池物理检查</w:t>
      </w:r>
    </w:p>
    <w:p>
      <w:pPr>
        <w:numPr>
          <w:ilvl w:val="0"/>
          <w:numId w:val="16"/>
        </w:numPr>
        <w:autoSpaceDE w:val="0"/>
        <w:autoSpaceDN w:val="0"/>
        <w:spacing w:line="360" w:lineRule="auto"/>
        <w:rPr>
          <w:rFonts w:ascii="Calibri" w:hAnsi="Calibri"/>
          <w:sz w:val="24"/>
        </w:rPr>
      </w:pPr>
      <w:r>
        <w:rPr>
          <w:rFonts w:hint="eastAsia" w:ascii="Calibri" w:hAnsi="Calibri"/>
          <w:sz w:val="24"/>
        </w:rPr>
        <w:t>电池资料</w:t>
      </w:r>
    </w:p>
    <w:p>
      <w:pPr>
        <w:numPr>
          <w:ilvl w:val="1"/>
          <w:numId w:val="16"/>
        </w:numPr>
        <w:autoSpaceDE w:val="0"/>
        <w:autoSpaceDN w:val="0"/>
        <w:spacing w:line="360" w:lineRule="auto"/>
        <w:rPr>
          <w:rFonts w:ascii="Calibri" w:hAnsi="Calibri"/>
          <w:sz w:val="24"/>
        </w:rPr>
      </w:pPr>
      <w:r>
        <w:rPr>
          <w:rFonts w:hint="eastAsia" w:ascii="Calibri" w:hAnsi="Calibri"/>
          <w:sz w:val="24"/>
        </w:rPr>
        <w:t>调试日期</w:t>
      </w:r>
    </w:p>
    <w:p>
      <w:pPr>
        <w:numPr>
          <w:ilvl w:val="1"/>
          <w:numId w:val="16"/>
        </w:numPr>
        <w:autoSpaceDE w:val="0"/>
        <w:autoSpaceDN w:val="0"/>
        <w:spacing w:line="360" w:lineRule="auto"/>
        <w:rPr>
          <w:rFonts w:ascii="Calibri" w:hAnsi="Calibri"/>
          <w:sz w:val="24"/>
        </w:rPr>
      </w:pPr>
      <w:r>
        <w:rPr>
          <w:rFonts w:hint="eastAsia" w:ascii="Calibri" w:hAnsi="Calibri"/>
          <w:sz w:val="24"/>
        </w:rPr>
        <w:t>电池单体的电压</w:t>
      </w:r>
    </w:p>
    <w:p>
      <w:pPr>
        <w:numPr>
          <w:ilvl w:val="1"/>
          <w:numId w:val="16"/>
        </w:numPr>
        <w:autoSpaceDE w:val="0"/>
        <w:autoSpaceDN w:val="0"/>
        <w:spacing w:line="360" w:lineRule="auto"/>
        <w:rPr>
          <w:rFonts w:ascii="Calibri" w:hAnsi="Calibri"/>
          <w:sz w:val="24"/>
        </w:rPr>
      </w:pPr>
      <w:r>
        <w:rPr>
          <w:rFonts w:hint="eastAsia" w:ascii="Calibri" w:hAnsi="Calibri"/>
          <w:sz w:val="24"/>
        </w:rPr>
        <w:t>并联组数</w:t>
      </w:r>
    </w:p>
    <w:p>
      <w:pPr>
        <w:numPr>
          <w:ilvl w:val="1"/>
          <w:numId w:val="16"/>
        </w:numPr>
        <w:autoSpaceDE w:val="0"/>
        <w:autoSpaceDN w:val="0"/>
        <w:spacing w:line="360" w:lineRule="auto"/>
        <w:rPr>
          <w:rFonts w:ascii="Calibri" w:hAnsi="Calibri"/>
          <w:sz w:val="24"/>
        </w:rPr>
      </w:pPr>
      <w:r>
        <w:rPr>
          <w:rFonts w:hint="eastAsia" w:ascii="Calibri" w:hAnsi="Calibri"/>
          <w:sz w:val="24"/>
        </w:rPr>
        <w:t>串联只数</w:t>
      </w:r>
    </w:p>
    <w:p>
      <w:pPr>
        <w:numPr>
          <w:ilvl w:val="0"/>
          <w:numId w:val="16"/>
        </w:numPr>
        <w:autoSpaceDE w:val="0"/>
        <w:autoSpaceDN w:val="0"/>
        <w:spacing w:line="360" w:lineRule="auto"/>
        <w:rPr>
          <w:rFonts w:ascii="Calibri" w:hAnsi="Calibri"/>
          <w:sz w:val="24"/>
        </w:rPr>
      </w:pPr>
      <w:r>
        <w:rPr>
          <w:rFonts w:hint="eastAsia" w:ascii="Calibri" w:hAnsi="Calibri"/>
          <w:sz w:val="24"/>
        </w:rPr>
        <w:t>浮充情况下电池电压的测量</w:t>
      </w:r>
    </w:p>
    <w:p>
      <w:pPr>
        <w:numPr>
          <w:ilvl w:val="0"/>
          <w:numId w:val="17"/>
        </w:numPr>
        <w:autoSpaceDE w:val="0"/>
        <w:autoSpaceDN w:val="0"/>
        <w:spacing w:line="360" w:lineRule="auto"/>
        <w:rPr>
          <w:rFonts w:ascii="Calibri" w:hAnsi="Calibri"/>
          <w:sz w:val="24"/>
        </w:rPr>
      </w:pPr>
      <w:r>
        <w:rPr>
          <w:rFonts w:hint="eastAsia" w:ascii="Calibri" w:hAnsi="Calibri"/>
          <w:sz w:val="24"/>
        </w:rPr>
        <w:t>记录每块电池的浮充电压</w:t>
      </w:r>
    </w:p>
    <w:p>
      <w:pPr>
        <w:numPr>
          <w:ilvl w:val="0"/>
          <w:numId w:val="16"/>
        </w:numPr>
        <w:autoSpaceDE w:val="0"/>
        <w:autoSpaceDN w:val="0"/>
        <w:spacing w:line="360" w:lineRule="auto"/>
        <w:rPr>
          <w:rFonts w:ascii="Calibri" w:hAnsi="Calibri"/>
          <w:sz w:val="24"/>
        </w:rPr>
      </w:pPr>
      <w:r>
        <w:rPr>
          <w:rFonts w:hint="eastAsia" w:ascii="Calibri" w:hAnsi="Calibri"/>
          <w:sz w:val="24"/>
        </w:rPr>
        <w:t>电池组放电测试</w:t>
      </w:r>
    </w:p>
    <w:p>
      <w:pPr>
        <w:numPr>
          <w:ilvl w:val="0"/>
          <w:numId w:val="17"/>
        </w:numPr>
        <w:autoSpaceDE w:val="0"/>
        <w:autoSpaceDN w:val="0"/>
        <w:spacing w:line="360" w:lineRule="auto"/>
        <w:rPr>
          <w:rFonts w:ascii="Calibri" w:hAnsi="Calibri"/>
          <w:sz w:val="24"/>
        </w:rPr>
      </w:pPr>
      <w:r>
        <w:rPr>
          <w:rFonts w:hint="eastAsia" w:ascii="Calibri" w:hAnsi="Calibri"/>
          <w:sz w:val="24"/>
        </w:rPr>
        <w:t>电池电压</w:t>
      </w:r>
    </w:p>
    <w:p>
      <w:pPr>
        <w:numPr>
          <w:ilvl w:val="0"/>
          <w:numId w:val="17"/>
        </w:numPr>
        <w:autoSpaceDE w:val="0"/>
        <w:autoSpaceDN w:val="0"/>
        <w:spacing w:line="360" w:lineRule="auto"/>
        <w:rPr>
          <w:rFonts w:ascii="Calibri" w:hAnsi="Calibri"/>
          <w:sz w:val="24"/>
        </w:rPr>
      </w:pPr>
      <w:r>
        <w:rPr>
          <w:rFonts w:hint="eastAsia" w:ascii="Calibri" w:hAnsi="Calibri"/>
          <w:sz w:val="24"/>
        </w:rPr>
        <w:t>电池内阻</w:t>
      </w:r>
    </w:p>
    <w:p>
      <w:pPr>
        <w:autoSpaceDE w:val="0"/>
        <w:autoSpaceDN w:val="0"/>
        <w:adjustRightInd w:val="0"/>
        <w:spacing w:line="360" w:lineRule="auto"/>
        <w:rPr>
          <w:rFonts w:ascii="Calibri" w:hAnsi="Calibri"/>
          <w:b/>
          <w:sz w:val="24"/>
        </w:rPr>
      </w:pPr>
      <w:r>
        <w:rPr>
          <w:rFonts w:hint="eastAsia" w:ascii="Calibri" w:hAnsi="Calibri"/>
          <w:b/>
          <w:sz w:val="24"/>
        </w:rPr>
        <w:t>静态开关的检查</w:t>
      </w:r>
    </w:p>
    <w:p>
      <w:pPr>
        <w:numPr>
          <w:ilvl w:val="0"/>
          <w:numId w:val="18"/>
        </w:numPr>
        <w:autoSpaceDE w:val="0"/>
        <w:autoSpaceDN w:val="0"/>
        <w:spacing w:line="360" w:lineRule="auto"/>
        <w:rPr>
          <w:rFonts w:ascii="Calibri" w:hAnsi="Calibri"/>
          <w:sz w:val="24"/>
        </w:rPr>
      </w:pPr>
      <w:r>
        <w:rPr>
          <w:rFonts w:hint="eastAsia" w:ascii="Calibri" w:hAnsi="Calibri"/>
          <w:sz w:val="24"/>
        </w:rPr>
        <w:t>物理检查</w:t>
      </w:r>
    </w:p>
    <w:p>
      <w:pPr>
        <w:numPr>
          <w:ilvl w:val="1"/>
          <w:numId w:val="18"/>
        </w:numPr>
        <w:autoSpaceDE w:val="0"/>
        <w:autoSpaceDN w:val="0"/>
        <w:spacing w:line="360" w:lineRule="auto"/>
        <w:rPr>
          <w:rFonts w:ascii="Calibri" w:hAnsi="Calibri"/>
          <w:sz w:val="24"/>
        </w:rPr>
      </w:pPr>
      <w:r>
        <w:rPr>
          <w:rFonts w:hint="eastAsia" w:ascii="Calibri" w:hAnsi="Calibri"/>
          <w:sz w:val="24"/>
        </w:rPr>
        <w:t>功率连接的紧密程度（过热、氧化）</w:t>
      </w:r>
    </w:p>
    <w:p>
      <w:pPr>
        <w:numPr>
          <w:ilvl w:val="1"/>
          <w:numId w:val="18"/>
        </w:numPr>
        <w:autoSpaceDE w:val="0"/>
        <w:autoSpaceDN w:val="0"/>
        <w:spacing w:line="360" w:lineRule="auto"/>
        <w:rPr>
          <w:rFonts w:ascii="Calibri" w:hAnsi="Calibri"/>
          <w:sz w:val="24"/>
        </w:rPr>
      </w:pPr>
      <w:r>
        <w:rPr>
          <w:rFonts w:hint="eastAsia" w:ascii="Calibri" w:hAnsi="Calibri"/>
          <w:sz w:val="24"/>
        </w:rPr>
        <w:t>信号线连接的紧密情况</w:t>
      </w:r>
    </w:p>
    <w:p>
      <w:pPr>
        <w:numPr>
          <w:ilvl w:val="1"/>
          <w:numId w:val="18"/>
        </w:numPr>
        <w:autoSpaceDE w:val="0"/>
        <w:autoSpaceDN w:val="0"/>
        <w:spacing w:line="360" w:lineRule="auto"/>
        <w:rPr>
          <w:rFonts w:ascii="Calibri" w:hAnsi="Calibri"/>
          <w:sz w:val="24"/>
        </w:rPr>
      </w:pPr>
      <w:r>
        <w:rPr>
          <w:rFonts w:hint="eastAsia" w:ascii="Calibri" w:hAnsi="Calibri"/>
          <w:sz w:val="24"/>
        </w:rPr>
        <w:t>板及附件的情况</w:t>
      </w:r>
    </w:p>
    <w:p>
      <w:pPr>
        <w:numPr>
          <w:ilvl w:val="1"/>
          <w:numId w:val="18"/>
        </w:numPr>
        <w:autoSpaceDE w:val="0"/>
        <w:autoSpaceDN w:val="0"/>
        <w:spacing w:line="360" w:lineRule="auto"/>
        <w:rPr>
          <w:rFonts w:ascii="Calibri" w:hAnsi="Calibri"/>
          <w:sz w:val="24"/>
        </w:rPr>
      </w:pPr>
      <w:r>
        <w:rPr>
          <w:rFonts w:hint="eastAsia" w:ascii="Calibri" w:hAnsi="Calibri"/>
          <w:sz w:val="24"/>
        </w:rPr>
        <w:t>风扇</w:t>
      </w:r>
    </w:p>
    <w:p>
      <w:pPr>
        <w:numPr>
          <w:ilvl w:val="0"/>
          <w:numId w:val="18"/>
        </w:numPr>
        <w:autoSpaceDE w:val="0"/>
        <w:autoSpaceDN w:val="0"/>
        <w:spacing w:line="360" w:lineRule="auto"/>
        <w:rPr>
          <w:rFonts w:ascii="Calibri" w:hAnsi="Calibri"/>
          <w:sz w:val="24"/>
        </w:rPr>
      </w:pPr>
      <w:r>
        <w:rPr>
          <w:rFonts w:hint="eastAsia" w:ascii="Calibri" w:hAnsi="Calibri"/>
          <w:sz w:val="24"/>
        </w:rPr>
        <w:t>切换测试（要由</w:t>
      </w:r>
      <w:r>
        <w:rPr>
          <w:rFonts w:hint="eastAsia"/>
          <w:sz w:val="24"/>
        </w:rPr>
        <w:t>信息部门</w:t>
      </w:r>
      <w:r>
        <w:rPr>
          <w:rFonts w:hint="eastAsia" w:ascii="Calibri" w:hAnsi="Calibri"/>
          <w:sz w:val="24"/>
        </w:rPr>
        <w:t>同意）</w:t>
      </w:r>
    </w:p>
    <w:p>
      <w:pPr>
        <w:numPr>
          <w:ilvl w:val="1"/>
          <w:numId w:val="18"/>
        </w:numPr>
        <w:autoSpaceDE w:val="0"/>
        <w:autoSpaceDN w:val="0"/>
        <w:spacing w:line="360" w:lineRule="auto"/>
        <w:rPr>
          <w:rFonts w:ascii="宋体" w:hAnsi="宋体"/>
          <w:sz w:val="24"/>
        </w:rPr>
      </w:pPr>
      <w:r>
        <w:rPr>
          <w:rFonts w:hint="eastAsia" w:ascii="Calibri" w:hAnsi="Calibri"/>
          <w:sz w:val="24"/>
        </w:rPr>
        <w:t>由</w:t>
      </w:r>
      <w:r>
        <w:rPr>
          <w:rFonts w:ascii="宋体" w:hAnsi="宋体"/>
          <w:sz w:val="24"/>
        </w:rPr>
        <w:t>UPS</w:t>
      </w:r>
      <w:r>
        <w:rPr>
          <w:rFonts w:hint="eastAsia" w:ascii="宋体" w:hAnsi="宋体"/>
          <w:sz w:val="24"/>
        </w:rPr>
        <w:t>切换到旁路</w:t>
      </w:r>
    </w:p>
    <w:p>
      <w:pPr>
        <w:numPr>
          <w:ilvl w:val="1"/>
          <w:numId w:val="18"/>
        </w:numPr>
        <w:autoSpaceDE w:val="0"/>
        <w:autoSpaceDN w:val="0"/>
        <w:spacing w:line="360" w:lineRule="auto"/>
        <w:rPr>
          <w:rFonts w:ascii="宋体" w:hAnsi="宋体"/>
          <w:sz w:val="24"/>
        </w:rPr>
      </w:pPr>
      <w:r>
        <w:rPr>
          <w:rFonts w:hint="eastAsia" w:ascii="宋体" w:hAnsi="宋体"/>
          <w:sz w:val="24"/>
        </w:rPr>
        <w:t>由旁路切换到</w:t>
      </w:r>
      <w:r>
        <w:rPr>
          <w:rFonts w:ascii="宋体" w:hAnsi="宋体"/>
          <w:sz w:val="24"/>
        </w:rPr>
        <w:t>UPS</w:t>
      </w:r>
    </w:p>
    <w:p>
      <w:pPr>
        <w:widowControl/>
        <w:autoSpaceDE w:val="0"/>
        <w:autoSpaceDN w:val="0"/>
        <w:adjustRightInd w:val="0"/>
        <w:spacing w:line="360" w:lineRule="auto"/>
        <w:rPr>
          <w:rFonts w:ascii="宋体" w:hAnsi="宋体"/>
          <w:kern w:val="40"/>
          <w:sz w:val="24"/>
          <w:szCs w:val="20"/>
        </w:rPr>
      </w:pPr>
      <w:r>
        <w:rPr>
          <w:rFonts w:hint="eastAsia" w:ascii="宋体" w:hAnsi="宋体"/>
          <w:kern w:val="40"/>
          <w:sz w:val="24"/>
        </w:rPr>
        <w:t>以上各项的检测结果作出维护保养报告交给用户。</w:t>
      </w:r>
    </w:p>
    <w:p>
      <w:pPr>
        <w:numPr>
          <w:ilvl w:val="1"/>
          <w:numId w:val="1"/>
        </w:numPr>
        <w:spacing w:line="720" w:lineRule="auto"/>
        <w:outlineLvl w:val="1"/>
        <w:rPr>
          <w:rFonts w:ascii="宋体" w:hAnsi="宋体"/>
          <w:sz w:val="30"/>
          <w:szCs w:val="30"/>
        </w:rPr>
      </w:pPr>
      <w:bookmarkStart w:id="39" w:name="_Toc70082167"/>
      <w:bookmarkStart w:id="40" w:name="_Toc15495"/>
      <w:r>
        <w:rPr>
          <w:rFonts w:hint="eastAsia" w:ascii="宋体" w:hAnsi="宋体"/>
          <w:sz w:val="30"/>
          <w:szCs w:val="30"/>
        </w:rPr>
        <w:t>EPS系统维护服务方案</w:t>
      </w:r>
      <w:bookmarkEnd w:id="39"/>
      <w:bookmarkEnd w:id="40"/>
    </w:p>
    <w:p>
      <w:pPr>
        <w:pStyle w:val="6"/>
        <w:numPr>
          <w:ilvl w:val="0"/>
          <w:numId w:val="19"/>
        </w:numPr>
        <w:rPr>
          <w:rFonts w:ascii="宋体" w:hAnsi="宋体"/>
          <w:b w:val="0"/>
          <w:sz w:val="36"/>
          <w:szCs w:val="36"/>
        </w:rPr>
      </w:pPr>
      <w:bookmarkStart w:id="41" w:name="_Toc26430"/>
      <w:r>
        <w:rPr>
          <w:rFonts w:hint="eastAsia" w:ascii="宋体" w:hAnsi="宋体"/>
          <w:b w:val="0"/>
          <w:sz w:val="36"/>
          <w:szCs w:val="36"/>
        </w:rPr>
        <w:t>服务目的</w:t>
      </w:r>
      <w:bookmarkEnd w:id="41"/>
    </w:p>
    <w:p>
      <w:pPr>
        <w:pStyle w:val="3"/>
        <w:spacing w:line="360" w:lineRule="auto"/>
        <w:ind w:firstLine="600" w:firstLineChars="250"/>
        <w:rPr>
          <w:rFonts w:ascii="宋体" w:hAnsi="宋体"/>
          <w:sz w:val="24"/>
        </w:rPr>
      </w:pPr>
      <w:r>
        <w:rPr>
          <w:rFonts w:hint="eastAsia" w:ascii="宋体" w:hAnsi="宋体"/>
          <w:sz w:val="24"/>
        </w:rPr>
        <w:t>为保障EPS系统的正常运行，安排专业技术人员定期对EPS系统进行功能、性能检查，以保证在应急情况下系统能正常使用</w:t>
      </w:r>
      <w:r>
        <w:rPr>
          <w:rFonts w:ascii="宋体" w:hAnsi="宋体"/>
          <w:sz w:val="24"/>
        </w:rPr>
        <w:t>。</w:t>
      </w:r>
    </w:p>
    <w:p>
      <w:pPr>
        <w:pStyle w:val="6"/>
        <w:numPr>
          <w:ilvl w:val="0"/>
          <w:numId w:val="19"/>
        </w:numPr>
        <w:rPr>
          <w:rFonts w:ascii="宋体" w:hAnsi="宋体"/>
          <w:b w:val="0"/>
          <w:sz w:val="36"/>
          <w:szCs w:val="36"/>
        </w:rPr>
      </w:pPr>
      <w:bookmarkStart w:id="42" w:name="_Toc7098"/>
      <w:r>
        <w:rPr>
          <w:rFonts w:hint="eastAsia" w:ascii="宋体" w:hAnsi="宋体"/>
          <w:b w:val="0"/>
          <w:sz w:val="36"/>
          <w:szCs w:val="36"/>
        </w:rPr>
        <w:t>服务范围</w:t>
      </w:r>
      <w:bookmarkEnd w:id="42"/>
    </w:p>
    <w:p>
      <w:pPr>
        <w:spacing w:line="360" w:lineRule="auto"/>
        <w:rPr>
          <w:rFonts w:ascii="宋体" w:hAnsi="宋体"/>
          <w:b/>
          <w:sz w:val="24"/>
        </w:rPr>
      </w:pPr>
      <w:r>
        <w:rPr>
          <w:rFonts w:hint="eastAsia" w:ascii="宋体" w:hAnsi="宋体"/>
          <w:b/>
          <w:sz w:val="24"/>
        </w:rPr>
        <w:t>1、零、部件检查</w:t>
      </w:r>
    </w:p>
    <w:p>
      <w:pPr>
        <w:widowControl/>
        <w:snapToGrid w:val="0"/>
        <w:spacing w:line="360" w:lineRule="auto"/>
        <w:ind w:firstLine="480" w:firstLineChars="200"/>
        <w:jc w:val="left"/>
        <w:rPr>
          <w:rFonts w:ascii="宋体" w:hAnsi="宋体"/>
          <w:sz w:val="24"/>
        </w:rPr>
      </w:pPr>
      <w:r>
        <w:rPr>
          <w:rFonts w:hint="eastAsia" w:ascii="宋体" w:hAnsi="宋体"/>
          <w:sz w:val="24"/>
        </w:rPr>
        <w:t>1）确认电池外观无凹凸现象，显示控制屏显示正常，空关、信号指示灯完好。</w:t>
      </w:r>
    </w:p>
    <w:p>
      <w:pPr>
        <w:widowControl/>
        <w:snapToGrid w:val="0"/>
        <w:spacing w:line="360" w:lineRule="auto"/>
        <w:ind w:firstLine="480" w:firstLineChars="200"/>
        <w:jc w:val="left"/>
        <w:rPr>
          <w:rFonts w:ascii="宋体" w:hAnsi="宋体"/>
          <w:sz w:val="24"/>
        </w:rPr>
      </w:pPr>
      <w:r>
        <w:rPr>
          <w:rFonts w:hint="eastAsia" w:ascii="宋体" w:hAnsi="宋体"/>
          <w:sz w:val="24"/>
        </w:rPr>
        <w:t>2）屏、盘、箱、柜等装置上的各种电器、仪表、信号等元器件完整，安装端正、牢固、外观清洁，标志清晰。</w:t>
      </w:r>
    </w:p>
    <w:p>
      <w:pPr>
        <w:widowControl/>
        <w:snapToGrid w:val="0"/>
        <w:spacing w:line="360" w:lineRule="auto"/>
        <w:ind w:firstLine="480" w:firstLineChars="200"/>
        <w:jc w:val="left"/>
        <w:rPr>
          <w:rFonts w:ascii="宋体" w:hAnsi="宋体"/>
          <w:sz w:val="24"/>
        </w:rPr>
      </w:pPr>
      <w:r>
        <w:rPr>
          <w:rFonts w:hint="eastAsia" w:ascii="宋体" w:hAnsi="宋体"/>
          <w:sz w:val="24"/>
        </w:rPr>
        <w:t>3）回路接线合理，整齐、美观，电缆标牌及各种端子编号正确、齐全，导线及电缆截符合要求。</w:t>
      </w:r>
    </w:p>
    <w:p>
      <w:pPr>
        <w:widowControl/>
        <w:snapToGrid w:val="0"/>
        <w:spacing w:line="360" w:lineRule="auto"/>
        <w:ind w:firstLine="480" w:firstLineChars="200"/>
        <w:jc w:val="left"/>
        <w:rPr>
          <w:rFonts w:ascii="宋体" w:hAnsi="宋体"/>
          <w:sz w:val="24"/>
        </w:rPr>
      </w:pPr>
      <w:r>
        <w:rPr>
          <w:rFonts w:hint="eastAsia" w:ascii="宋体" w:hAnsi="宋体"/>
          <w:sz w:val="24"/>
        </w:rPr>
        <w:t>4）各螺栓紧固可靠，二次回路绝缘符合要求。</w:t>
      </w:r>
    </w:p>
    <w:p>
      <w:pPr>
        <w:widowControl/>
        <w:snapToGrid w:val="0"/>
        <w:spacing w:line="360" w:lineRule="auto"/>
        <w:ind w:firstLine="480" w:firstLineChars="200"/>
        <w:jc w:val="left"/>
        <w:rPr>
          <w:rFonts w:ascii="宋体" w:hAnsi="宋体"/>
          <w:sz w:val="24"/>
        </w:rPr>
      </w:pPr>
      <w:r>
        <w:rPr>
          <w:rFonts w:hint="eastAsia" w:ascii="宋体" w:hAnsi="宋体"/>
          <w:sz w:val="24"/>
        </w:rPr>
        <w:t>5）各切换装置切换灵活、电子元器件完好。</w:t>
      </w:r>
    </w:p>
    <w:p>
      <w:pPr>
        <w:widowControl/>
        <w:snapToGrid w:val="0"/>
        <w:spacing w:line="360" w:lineRule="auto"/>
        <w:ind w:firstLine="480" w:firstLineChars="200"/>
        <w:jc w:val="left"/>
        <w:rPr>
          <w:rFonts w:ascii="宋体" w:hAnsi="宋体"/>
          <w:sz w:val="24"/>
        </w:rPr>
      </w:pPr>
      <w:r>
        <w:rPr>
          <w:rFonts w:hint="eastAsia" w:ascii="宋体" w:hAnsi="宋体"/>
          <w:sz w:val="24"/>
        </w:rPr>
        <w:t>6）蓄电池输出有短路、低电压、过电压等必要的保护；</w:t>
      </w:r>
    </w:p>
    <w:p>
      <w:pPr>
        <w:widowControl/>
        <w:snapToGrid w:val="0"/>
        <w:spacing w:line="360" w:lineRule="auto"/>
        <w:ind w:firstLine="480" w:firstLineChars="200"/>
        <w:jc w:val="left"/>
        <w:rPr>
          <w:rFonts w:ascii="宋体" w:hAnsi="宋体"/>
          <w:sz w:val="24"/>
        </w:rPr>
      </w:pPr>
      <w:r>
        <w:rPr>
          <w:rFonts w:hint="eastAsia" w:ascii="宋体" w:hAnsi="宋体"/>
          <w:sz w:val="24"/>
        </w:rPr>
        <w:t>7）蓄电池柜内电池台架牢固，能达到一定的防震要求；对地绝缘良好，绝缘电阻应达到1千欧以上。</w:t>
      </w:r>
    </w:p>
    <w:p>
      <w:pPr>
        <w:spacing w:line="360" w:lineRule="auto"/>
        <w:rPr>
          <w:rFonts w:ascii="宋体" w:hAnsi="宋体"/>
          <w:b/>
          <w:sz w:val="24"/>
        </w:rPr>
      </w:pPr>
      <w:r>
        <w:rPr>
          <w:rFonts w:hint="eastAsia" w:ascii="宋体" w:hAnsi="宋体"/>
          <w:b/>
          <w:sz w:val="24"/>
        </w:rPr>
        <w:t>2、运行性能检查</w:t>
      </w:r>
    </w:p>
    <w:p>
      <w:pPr>
        <w:widowControl/>
        <w:snapToGrid w:val="0"/>
        <w:spacing w:line="360" w:lineRule="auto"/>
        <w:ind w:firstLine="480" w:firstLineChars="200"/>
        <w:jc w:val="left"/>
        <w:rPr>
          <w:rFonts w:ascii="宋体" w:hAnsi="宋体"/>
          <w:sz w:val="24"/>
        </w:rPr>
      </w:pPr>
      <w:r>
        <w:rPr>
          <w:rFonts w:hint="eastAsia" w:ascii="宋体" w:hAnsi="宋体"/>
          <w:sz w:val="24"/>
        </w:rPr>
        <w:t>1）各路电源相互切换正常。</w:t>
      </w:r>
    </w:p>
    <w:p>
      <w:pPr>
        <w:widowControl/>
        <w:snapToGrid w:val="0"/>
        <w:spacing w:line="360" w:lineRule="auto"/>
        <w:ind w:firstLine="480" w:firstLineChars="200"/>
        <w:jc w:val="left"/>
        <w:rPr>
          <w:rFonts w:ascii="宋体" w:hAnsi="宋体"/>
          <w:sz w:val="24"/>
        </w:rPr>
      </w:pPr>
      <w:r>
        <w:rPr>
          <w:rFonts w:hint="eastAsia" w:ascii="宋体" w:hAnsi="宋体"/>
          <w:sz w:val="24"/>
        </w:rPr>
        <w:t>2）各元器件的检查、试验周期及特性和误差符合有关规定。</w:t>
      </w:r>
    </w:p>
    <w:p>
      <w:pPr>
        <w:widowControl/>
        <w:snapToGrid w:val="0"/>
        <w:spacing w:line="360" w:lineRule="auto"/>
        <w:ind w:firstLine="480" w:firstLineChars="200"/>
        <w:jc w:val="left"/>
        <w:rPr>
          <w:rFonts w:ascii="宋体" w:hAnsi="宋体"/>
          <w:sz w:val="24"/>
        </w:rPr>
      </w:pPr>
      <w:r>
        <w:rPr>
          <w:rFonts w:hint="eastAsia" w:ascii="宋体" w:hAnsi="宋体"/>
          <w:sz w:val="24"/>
        </w:rPr>
        <w:t>3）装置动作可靠，试验及开停机操作方法正确。</w:t>
      </w:r>
    </w:p>
    <w:p>
      <w:pPr>
        <w:widowControl/>
        <w:snapToGrid w:val="0"/>
        <w:spacing w:line="360" w:lineRule="auto"/>
        <w:ind w:firstLine="480" w:firstLineChars="200"/>
        <w:jc w:val="left"/>
        <w:rPr>
          <w:rFonts w:ascii="宋体" w:hAnsi="宋体"/>
          <w:sz w:val="24"/>
        </w:rPr>
      </w:pPr>
      <w:r>
        <w:rPr>
          <w:rFonts w:hint="eastAsia" w:ascii="宋体" w:hAnsi="宋体"/>
          <w:sz w:val="24"/>
        </w:rPr>
        <w:t>4）装置运行性能良好。</w:t>
      </w:r>
    </w:p>
    <w:p>
      <w:pPr>
        <w:widowControl/>
        <w:snapToGrid w:val="0"/>
        <w:spacing w:line="360" w:lineRule="auto"/>
        <w:ind w:firstLine="480" w:firstLineChars="200"/>
        <w:jc w:val="left"/>
        <w:rPr>
          <w:rFonts w:ascii="宋体" w:hAnsi="宋体"/>
          <w:sz w:val="24"/>
        </w:rPr>
      </w:pPr>
      <w:r>
        <w:rPr>
          <w:rFonts w:hint="eastAsia" w:ascii="宋体" w:hAnsi="宋体"/>
          <w:sz w:val="24"/>
        </w:rPr>
        <w:t>5）EPS的输出负载控制在60%左右为最佳</w:t>
      </w:r>
    </w:p>
    <w:p>
      <w:pPr>
        <w:widowControl/>
        <w:snapToGrid w:val="0"/>
        <w:spacing w:line="360" w:lineRule="auto"/>
        <w:ind w:firstLine="480" w:firstLineChars="200"/>
        <w:jc w:val="left"/>
        <w:rPr>
          <w:rFonts w:ascii="宋体" w:hAnsi="宋体"/>
          <w:sz w:val="24"/>
        </w:rPr>
      </w:pPr>
      <w:r>
        <w:rPr>
          <w:rFonts w:hint="eastAsia" w:ascii="宋体" w:hAnsi="宋体"/>
          <w:sz w:val="24"/>
        </w:rPr>
        <w:t>6）逆变性能、稳压性能、稳流性能、动态特性符合要求。</w:t>
      </w:r>
    </w:p>
    <w:p>
      <w:pPr>
        <w:widowControl/>
        <w:snapToGrid w:val="0"/>
        <w:spacing w:line="360" w:lineRule="auto"/>
        <w:ind w:firstLine="480" w:firstLineChars="200"/>
        <w:jc w:val="left"/>
        <w:rPr>
          <w:rFonts w:ascii="宋体" w:hAnsi="宋体"/>
          <w:sz w:val="24"/>
        </w:rPr>
      </w:pPr>
      <w:r>
        <w:rPr>
          <w:rFonts w:hint="eastAsia" w:ascii="宋体" w:hAnsi="宋体"/>
          <w:sz w:val="24"/>
        </w:rPr>
        <w:t>7）能同时满足蓄电池充电和逆变器满载运行需要。</w:t>
      </w:r>
    </w:p>
    <w:p>
      <w:pPr>
        <w:spacing w:line="360" w:lineRule="auto"/>
        <w:rPr>
          <w:rFonts w:ascii="宋体" w:hAnsi="宋体"/>
          <w:b/>
          <w:sz w:val="24"/>
        </w:rPr>
      </w:pPr>
      <w:r>
        <w:rPr>
          <w:rFonts w:hint="eastAsia" w:ascii="宋体" w:hAnsi="宋体"/>
          <w:b/>
          <w:sz w:val="24"/>
        </w:rPr>
        <w:t>3、环境检查</w:t>
      </w:r>
    </w:p>
    <w:p>
      <w:pPr>
        <w:widowControl/>
        <w:snapToGrid w:val="0"/>
        <w:spacing w:line="360" w:lineRule="auto"/>
        <w:ind w:firstLine="480" w:firstLineChars="200"/>
        <w:jc w:val="left"/>
        <w:rPr>
          <w:rFonts w:ascii="宋体" w:hAnsi="宋体"/>
          <w:sz w:val="24"/>
        </w:rPr>
      </w:pPr>
      <w:r>
        <w:rPr>
          <w:rFonts w:hint="eastAsia" w:ascii="宋体" w:hAnsi="宋体"/>
          <w:sz w:val="24"/>
        </w:rPr>
        <w:t>1）通风良好、设备清洁、通风口没有障碍物。</w:t>
      </w:r>
    </w:p>
    <w:p>
      <w:pPr>
        <w:widowControl/>
        <w:snapToGrid w:val="0"/>
        <w:spacing w:line="360" w:lineRule="auto"/>
        <w:ind w:firstLine="480" w:firstLineChars="200"/>
        <w:jc w:val="left"/>
        <w:rPr>
          <w:rFonts w:ascii="宋体" w:hAnsi="宋体"/>
          <w:sz w:val="24"/>
        </w:rPr>
      </w:pPr>
      <w:r>
        <w:rPr>
          <w:rFonts w:hint="eastAsia" w:ascii="宋体" w:hAnsi="宋体"/>
          <w:sz w:val="24"/>
        </w:rPr>
        <w:t>2）装置及周围地面干净、整洁、无杂物，不易产生灰尘。</w:t>
      </w:r>
    </w:p>
    <w:p>
      <w:pPr>
        <w:widowControl/>
        <w:snapToGrid w:val="0"/>
        <w:spacing w:line="360" w:lineRule="auto"/>
        <w:ind w:firstLine="480" w:firstLineChars="200"/>
        <w:jc w:val="left"/>
        <w:rPr>
          <w:rFonts w:ascii="宋体" w:hAnsi="宋体"/>
          <w:sz w:val="24"/>
        </w:rPr>
      </w:pPr>
      <w:r>
        <w:rPr>
          <w:rFonts w:hint="eastAsia" w:ascii="宋体" w:hAnsi="宋体"/>
          <w:sz w:val="24"/>
        </w:rPr>
        <w:t>3）机房门窗完整，不漏雨</w:t>
      </w:r>
    </w:p>
    <w:p>
      <w:pPr>
        <w:widowControl/>
        <w:snapToGrid w:val="0"/>
        <w:spacing w:line="360" w:lineRule="auto"/>
        <w:ind w:firstLine="480" w:firstLineChars="200"/>
        <w:jc w:val="left"/>
        <w:rPr>
          <w:rFonts w:ascii="宋体" w:hAnsi="宋体"/>
          <w:sz w:val="24"/>
        </w:rPr>
      </w:pPr>
      <w:r>
        <w:rPr>
          <w:rFonts w:hint="eastAsia" w:ascii="宋体" w:hAnsi="宋体"/>
          <w:sz w:val="24"/>
        </w:rPr>
        <w:t>4）装置周围不应有腐蚀性或酸性气体。</w:t>
      </w:r>
    </w:p>
    <w:p>
      <w:pPr>
        <w:widowControl/>
        <w:snapToGrid w:val="0"/>
        <w:spacing w:line="360" w:lineRule="auto"/>
        <w:ind w:firstLine="480" w:firstLineChars="200"/>
        <w:jc w:val="left"/>
        <w:rPr>
          <w:rFonts w:ascii="宋体" w:hAnsi="宋体"/>
          <w:sz w:val="24"/>
        </w:rPr>
      </w:pPr>
      <w:r>
        <w:rPr>
          <w:rFonts w:hint="eastAsia" w:ascii="宋体" w:hAnsi="宋体"/>
          <w:sz w:val="24"/>
        </w:rPr>
        <w:t>5）室内照明充足，绝缘垫完整良好，必备的安全用具和消防器材齐全，位置摆放正确。</w:t>
      </w:r>
    </w:p>
    <w:p>
      <w:pPr>
        <w:widowControl/>
        <w:snapToGrid w:val="0"/>
        <w:spacing w:line="360" w:lineRule="auto"/>
        <w:ind w:firstLine="480" w:firstLineChars="200"/>
        <w:jc w:val="left"/>
        <w:rPr>
          <w:rFonts w:ascii="宋体" w:hAnsi="宋体"/>
          <w:sz w:val="24"/>
        </w:rPr>
      </w:pPr>
      <w:r>
        <w:rPr>
          <w:rFonts w:hint="eastAsia" w:ascii="宋体" w:hAnsi="宋体"/>
          <w:sz w:val="24"/>
        </w:rPr>
        <w:t>6）进入EPS的空气温度不超过30℃。</w:t>
      </w:r>
    </w:p>
    <w:p>
      <w:pPr>
        <w:widowControl/>
        <w:snapToGrid w:val="0"/>
        <w:spacing w:line="360" w:lineRule="auto"/>
        <w:ind w:firstLine="480" w:firstLineChars="200"/>
        <w:jc w:val="left"/>
        <w:rPr>
          <w:rFonts w:ascii="宋体" w:hAnsi="宋体"/>
          <w:sz w:val="24"/>
        </w:rPr>
      </w:pPr>
      <w:r>
        <w:rPr>
          <w:rFonts w:hint="eastAsia" w:ascii="宋体" w:hAnsi="宋体"/>
          <w:sz w:val="24"/>
        </w:rPr>
        <w:t>7）各屏、柜内应清洁无尘、无杂物、严禁存放易燃易爆物品。</w:t>
      </w:r>
    </w:p>
    <w:p>
      <w:pPr>
        <w:widowControl/>
        <w:snapToGrid w:val="0"/>
        <w:spacing w:line="360" w:lineRule="auto"/>
        <w:ind w:firstLine="480" w:firstLineChars="200"/>
        <w:jc w:val="left"/>
        <w:rPr>
          <w:rFonts w:ascii="宋体" w:hAnsi="宋体"/>
          <w:sz w:val="24"/>
        </w:rPr>
      </w:pPr>
      <w:r>
        <w:rPr>
          <w:rFonts w:hint="eastAsia" w:ascii="宋体" w:hAnsi="宋体"/>
          <w:sz w:val="24"/>
        </w:rPr>
        <w:t>8）没有导电及易爆尘埃，没有腐蚀及破坏绝缘的气体的场所。</w:t>
      </w:r>
    </w:p>
    <w:p>
      <w:pPr>
        <w:widowControl/>
        <w:snapToGrid w:val="0"/>
        <w:spacing w:line="360" w:lineRule="auto"/>
        <w:ind w:firstLine="480" w:firstLineChars="200"/>
        <w:jc w:val="left"/>
        <w:rPr>
          <w:rFonts w:ascii="宋体" w:hAnsi="宋体"/>
          <w:sz w:val="24"/>
        </w:rPr>
      </w:pPr>
      <w:r>
        <w:rPr>
          <w:rFonts w:hint="eastAsia" w:ascii="宋体" w:hAnsi="宋体"/>
          <w:sz w:val="24"/>
        </w:rPr>
        <w:t>9）使用地点无强烈震动和冲击。</w:t>
      </w:r>
    </w:p>
    <w:p>
      <w:pPr>
        <w:widowControl/>
        <w:snapToGrid w:val="0"/>
        <w:spacing w:line="360" w:lineRule="auto"/>
        <w:ind w:firstLine="480" w:firstLineChars="200"/>
        <w:jc w:val="left"/>
        <w:rPr>
          <w:rFonts w:ascii="宋体" w:hAnsi="宋体"/>
          <w:sz w:val="24"/>
        </w:rPr>
      </w:pPr>
      <w:r>
        <w:rPr>
          <w:rFonts w:hint="eastAsia" w:ascii="宋体" w:hAnsi="宋体"/>
          <w:sz w:val="24"/>
        </w:rPr>
        <w:t>10）无导电微粒、无爆炸尘埃、无严重霉菌、无腐蚀金属和破坏绝缘的气体。</w:t>
      </w:r>
    </w:p>
    <w:p>
      <w:pPr>
        <w:widowControl/>
        <w:snapToGrid w:val="0"/>
        <w:spacing w:line="360" w:lineRule="auto"/>
        <w:ind w:firstLine="480" w:firstLineChars="200"/>
        <w:jc w:val="left"/>
        <w:rPr>
          <w:rFonts w:ascii="宋体" w:hAnsi="宋体"/>
          <w:sz w:val="24"/>
        </w:rPr>
      </w:pPr>
      <w:r>
        <w:rPr>
          <w:rFonts w:hint="eastAsia" w:ascii="宋体" w:hAnsi="宋体"/>
          <w:sz w:val="24"/>
        </w:rPr>
        <w:t>11）电池间/柜的温度不可超过20℃，否则电池的使用寿命会相应减少。</w:t>
      </w:r>
    </w:p>
    <w:p>
      <w:pPr>
        <w:spacing w:line="360" w:lineRule="auto"/>
        <w:rPr>
          <w:rFonts w:ascii="宋体" w:hAnsi="宋体"/>
          <w:b/>
          <w:sz w:val="24"/>
        </w:rPr>
      </w:pPr>
      <w:r>
        <w:rPr>
          <w:rFonts w:hint="eastAsia" w:ascii="宋体" w:hAnsi="宋体"/>
          <w:b/>
          <w:sz w:val="24"/>
        </w:rPr>
        <w:t>4、定期巡检维护</w:t>
      </w:r>
    </w:p>
    <w:p>
      <w:pPr>
        <w:widowControl/>
        <w:snapToGrid w:val="0"/>
        <w:spacing w:line="360" w:lineRule="auto"/>
        <w:ind w:firstLine="480" w:firstLineChars="200"/>
        <w:jc w:val="left"/>
        <w:rPr>
          <w:rFonts w:ascii="宋体" w:hAnsi="宋体"/>
          <w:sz w:val="24"/>
        </w:rPr>
      </w:pPr>
      <w:r>
        <w:rPr>
          <w:rFonts w:hint="eastAsia" w:ascii="宋体" w:hAnsi="宋体"/>
          <w:sz w:val="24"/>
        </w:rPr>
        <w:t>1）每个月一次全面巡检</w:t>
      </w:r>
    </w:p>
    <w:p>
      <w:pPr>
        <w:widowControl/>
        <w:snapToGrid w:val="0"/>
        <w:spacing w:line="360" w:lineRule="auto"/>
        <w:ind w:firstLine="480" w:firstLineChars="200"/>
        <w:jc w:val="left"/>
        <w:rPr>
          <w:rFonts w:ascii="宋体" w:hAnsi="宋体"/>
          <w:sz w:val="24"/>
        </w:rPr>
      </w:pPr>
      <w:r>
        <w:rPr>
          <w:rFonts w:hint="eastAsia" w:ascii="宋体" w:hAnsi="宋体"/>
          <w:sz w:val="24"/>
        </w:rPr>
        <w:t>2）巡检人员应记录EPS的运行情况，电压、电流值，发现问题及时处理。</w:t>
      </w:r>
    </w:p>
    <w:p>
      <w:pPr>
        <w:widowControl/>
        <w:snapToGrid w:val="0"/>
        <w:spacing w:line="360" w:lineRule="auto"/>
        <w:ind w:firstLine="480" w:firstLineChars="200"/>
        <w:jc w:val="left"/>
        <w:rPr>
          <w:rFonts w:ascii="宋体" w:hAnsi="宋体"/>
          <w:sz w:val="24"/>
        </w:rPr>
      </w:pPr>
      <w:r>
        <w:rPr>
          <w:rFonts w:hint="eastAsia" w:ascii="宋体" w:hAnsi="宋体"/>
          <w:sz w:val="24"/>
        </w:rPr>
        <w:t>3）检查各信号等工作是否正常；</w:t>
      </w:r>
    </w:p>
    <w:p>
      <w:pPr>
        <w:widowControl/>
        <w:snapToGrid w:val="0"/>
        <w:spacing w:line="360" w:lineRule="auto"/>
        <w:ind w:firstLine="480" w:firstLineChars="200"/>
        <w:jc w:val="left"/>
        <w:rPr>
          <w:rFonts w:ascii="宋体" w:hAnsi="宋体"/>
          <w:sz w:val="24"/>
        </w:rPr>
      </w:pPr>
      <w:r>
        <w:rPr>
          <w:rFonts w:hint="eastAsia" w:ascii="宋体" w:hAnsi="宋体"/>
          <w:sz w:val="24"/>
        </w:rPr>
        <w:t>4）保持蓄电池外部清洁；</w:t>
      </w:r>
    </w:p>
    <w:p>
      <w:pPr>
        <w:widowControl/>
        <w:snapToGrid w:val="0"/>
        <w:spacing w:line="360" w:lineRule="auto"/>
        <w:ind w:firstLine="480" w:firstLineChars="200"/>
        <w:jc w:val="left"/>
        <w:rPr>
          <w:rFonts w:ascii="宋体" w:hAnsi="宋体"/>
          <w:sz w:val="24"/>
        </w:rPr>
      </w:pPr>
      <w:r>
        <w:rPr>
          <w:rFonts w:hint="eastAsia" w:ascii="宋体" w:hAnsi="宋体"/>
          <w:sz w:val="24"/>
        </w:rPr>
        <w:t>5）蓄电池组运行状态检查：温度、连接点等</w:t>
      </w:r>
    </w:p>
    <w:p>
      <w:pPr>
        <w:widowControl/>
        <w:snapToGrid w:val="0"/>
        <w:spacing w:line="360" w:lineRule="auto"/>
        <w:ind w:firstLine="480" w:firstLineChars="200"/>
        <w:jc w:val="left"/>
        <w:rPr>
          <w:rFonts w:ascii="宋体" w:hAnsi="宋体"/>
          <w:sz w:val="30"/>
          <w:szCs w:val="30"/>
        </w:rPr>
      </w:pPr>
      <w:r>
        <w:rPr>
          <w:rFonts w:hint="eastAsia" w:ascii="宋体" w:hAnsi="宋体"/>
          <w:sz w:val="24"/>
        </w:rPr>
        <w:t>6）外观检查：是否有机械性损坏，是否落有导电性的污垢或灰尘，堆积的灰尘是否影响了散热。</w:t>
      </w:r>
    </w:p>
    <w:bookmarkEnd w:id="0"/>
    <w:p>
      <w:pPr>
        <w:pStyle w:val="4"/>
        <w:tabs>
          <w:tab w:val="left" w:pos="3600"/>
        </w:tabs>
        <w:ind w:left="0"/>
        <w:rPr>
          <w:rFonts w:ascii="宋体" w:hAnsi="宋体"/>
          <w:szCs w:val="36"/>
        </w:rPr>
      </w:pPr>
      <w:bookmarkStart w:id="43" w:name="_Toc70082170"/>
    </w:p>
    <w:p/>
    <w:p/>
    <w:p/>
    <w:p/>
    <w:p/>
    <w:p/>
    <w:p/>
    <w:p/>
    <w:p/>
    <w:p/>
    <w:p/>
    <w:p/>
    <w:p/>
    <w:p/>
    <w:p/>
    <w:p/>
    <w:p>
      <w:pPr>
        <w:pStyle w:val="4"/>
        <w:tabs>
          <w:tab w:val="left" w:pos="3600"/>
        </w:tabs>
        <w:ind w:left="0"/>
        <w:jc w:val="center"/>
        <w:rPr>
          <w:rFonts w:ascii="宋体" w:hAnsi="宋体"/>
          <w:szCs w:val="36"/>
        </w:rPr>
      </w:pPr>
      <w:r>
        <w:rPr>
          <w:rFonts w:hint="eastAsia" w:ascii="宋体" w:hAnsi="宋体"/>
          <w:szCs w:val="36"/>
        </w:rPr>
        <w:t xml:space="preserve"> </w:t>
      </w:r>
      <w:bookmarkStart w:id="44" w:name="_Toc9998"/>
      <w:r>
        <w:rPr>
          <w:rFonts w:hint="eastAsia" w:ascii="宋体" w:hAnsi="宋体"/>
          <w:szCs w:val="36"/>
        </w:rPr>
        <w:t>智能化维护范围及设备清单</w:t>
      </w:r>
      <w:bookmarkEnd w:id="43"/>
      <w:bookmarkEnd w:id="44"/>
    </w:p>
    <w:p>
      <w:pPr>
        <w:rPr>
          <w:sz w:val="30"/>
          <w:szCs w:val="30"/>
        </w:rPr>
      </w:pPr>
      <w:r>
        <w:rPr>
          <w:rFonts w:ascii="宋体" w:hAnsi="宋体"/>
          <w:b/>
          <w:bCs/>
          <w:kern w:val="44"/>
          <w:sz w:val="30"/>
          <w:szCs w:val="30"/>
        </w:rPr>
        <w:t>一、弱电系统清单</w:t>
      </w:r>
    </w:p>
    <w:tbl>
      <w:tblPr>
        <w:tblStyle w:val="29"/>
        <w:tblW w:w="8655" w:type="dxa"/>
        <w:jc w:val="center"/>
        <w:tblLayout w:type="fixed"/>
        <w:tblCellMar>
          <w:top w:w="0" w:type="dxa"/>
          <w:left w:w="108" w:type="dxa"/>
          <w:bottom w:w="0" w:type="dxa"/>
          <w:right w:w="108" w:type="dxa"/>
        </w:tblCellMar>
      </w:tblPr>
      <w:tblGrid>
        <w:gridCol w:w="1585"/>
        <w:gridCol w:w="1834"/>
        <w:gridCol w:w="1185"/>
        <w:gridCol w:w="1179"/>
        <w:gridCol w:w="1192"/>
        <w:gridCol w:w="1680"/>
      </w:tblGrid>
      <w:tr>
        <w:tblPrEx>
          <w:tblCellMar>
            <w:top w:w="0" w:type="dxa"/>
            <w:left w:w="108" w:type="dxa"/>
            <w:bottom w:w="0" w:type="dxa"/>
            <w:right w:w="108" w:type="dxa"/>
          </w:tblCellMar>
        </w:tblPrEx>
        <w:trPr>
          <w:trHeight w:val="534"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系统名称</w:t>
            </w:r>
          </w:p>
        </w:tc>
        <w:tc>
          <w:tcPr>
            <w:tcW w:w="18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类型</w:t>
            </w:r>
          </w:p>
        </w:tc>
        <w:tc>
          <w:tcPr>
            <w:tcW w:w="11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1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19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位置</w:t>
            </w:r>
          </w:p>
        </w:tc>
        <w:tc>
          <w:tcPr>
            <w:tcW w:w="16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巡检要求</w:t>
            </w:r>
          </w:p>
        </w:tc>
      </w:tr>
      <w:tr>
        <w:trPr>
          <w:trHeight w:val="534" w:hRule="atLeast"/>
          <w:jc w:val="center"/>
        </w:trPr>
        <w:tc>
          <w:tcPr>
            <w:tcW w:w="15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IP彩色半球摄像机</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615</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9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每月一次巡检</w:t>
            </w:r>
          </w:p>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电梯摄像机</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360度球机</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rPr>
          <w:trHeight w:val="534" w:hRule="atLeast"/>
          <w:jc w:val="center"/>
        </w:trPr>
        <w:tc>
          <w:tcPr>
            <w:tcW w:w="15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综合布线系统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弱电模块</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19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24口配线架</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165</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1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110语音配线架</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1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公共广播系统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弱电播放终端</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康复楼</w:t>
            </w:r>
          </w:p>
        </w:tc>
        <w:tc>
          <w:tcPr>
            <w:tcW w:w="1680"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弱电播放终端</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行政楼</w:t>
            </w:r>
          </w:p>
        </w:tc>
        <w:tc>
          <w:tcPr>
            <w:tcW w:w="1680"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弱电播放终端</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医疗楼</w:t>
            </w:r>
          </w:p>
        </w:tc>
        <w:tc>
          <w:tcPr>
            <w:tcW w:w="1680"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IP弱电功能</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rPr>
          <w:trHeight w:val="534" w:hRule="atLeast"/>
          <w:jc w:val="center"/>
        </w:trPr>
        <w:tc>
          <w:tcPr>
            <w:tcW w:w="1585"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消控室</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22寸显示器</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一楼消控室</w:t>
            </w:r>
          </w:p>
        </w:tc>
        <w:tc>
          <w:tcPr>
            <w:tcW w:w="1680" w:type="dxa"/>
            <w:vMerge w:val="restart"/>
            <w:tcBorders>
              <w:top w:val="nil"/>
              <w:left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每月一次巡检</w:t>
            </w:r>
          </w:p>
        </w:tc>
      </w:tr>
      <w:tr>
        <w:tblPrEx>
          <w:tblCellMar>
            <w:top w:w="0" w:type="dxa"/>
            <w:left w:w="108" w:type="dxa"/>
            <w:bottom w:w="0" w:type="dxa"/>
            <w:right w:w="108" w:type="dxa"/>
          </w:tblCellMar>
        </w:tblPrEx>
        <w:trPr>
          <w:trHeight w:val="534" w:hRule="atLeast"/>
          <w:jc w:val="center"/>
        </w:trPr>
        <w:tc>
          <w:tcPr>
            <w:tcW w:w="158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磁盘陈列</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存储硬盘</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172</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1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rPr>
          <w:trHeight w:val="534" w:hRule="atLeast"/>
          <w:jc w:val="center"/>
        </w:trPr>
        <w:tc>
          <w:tcPr>
            <w:tcW w:w="1585"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服务器</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一键报警系统</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排队叫号系统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排队叫号系统</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restart"/>
            <w:tcBorders>
              <w:top w:val="nil"/>
              <w:left w:val="nil"/>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每月一次巡检</w:t>
            </w:r>
          </w:p>
        </w:tc>
      </w:tr>
      <w:tr>
        <w:tblPrEx>
          <w:tblCellMar>
            <w:top w:w="0" w:type="dxa"/>
            <w:left w:w="108" w:type="dxa"/>
            <w:bottom w:w="0" w:type="dxa"/>
            <w:right w:w="108" w:type="dxa"/>
          </w:tblCellMar>
        </w:tblPrEx>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能源计量系统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能源计量系统</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巡更系统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巡更点</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信息发布系统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双基色屏体</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多媒体会议系统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会议系统</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rPr>
          <w:trHeight w:val="534" w:hRule="atLeast"/>
          <w:jc w:val="center"/>
        </w:trPr>
        <w:tc>
          <w:tcPr>
            <w:tcW w:w="158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门禁系统</w:t>
            </w:r>
          </w:p>
        </w:tc>
        <w:tc>
          <w:tcPr>
            <w:tcW w:w="18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门禁系统</w:t>
            </w:r>
          </w:p>
        </w:tc>
        <w:tc>
          <w:tcPr>
            <w:tcW w:w="11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17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1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全院</w:t>
            </w:r>
          </w:p>
        </w:tc>
        <w:tc>
          <w:tcPr>
            <w:tcW w:w="1680" w:type="dxa"/>
            <w:vMerge w:val="continue"/>
            <w:tcBorders>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bl>
    <w:p/>
    <w:p/>
    <w:p>
      <w:pPr>
        <w:rPr>
          <w:rFonts w:ascii="宋体" w:hAnsi="宋体"/>
          <w:b/>
          <w:bCs/>
          <w:kern w:val="44"/>
          <w:sz w:val="30"/>
          <w:szCs w:val="30"/>
        </w:rPr>
      </w:pPr>
      <w:r>
        <w:rPr>
          <w:rFonts w:hint="eastAsia" w:ascii="宋体" w:hAnsi="宋体"/>
          <w:b/>
          <w:bCs/>
          <w:kern w:val="44"/>
          <w:sz w:val="30"/>
          <w:szCs w:val="30"/>
        </w:rPr>
        <w:t>二、U</w:t>
      </w:r>
      <w:r>
        <w:rPr>
          <w:rFonts w:ascii="宋体" w:hAnsi="宋体"/>
          <w:b/>
          <w:bCs/>
          <w:kern w:val="44"/>
          <w:sz w:val="30"/>
          <w:szCs w:val="30"/>
        </w:rPr>
        <w:t>PS系统清单</w:t>
      </w:r>
    </w:p>
    <w:tbl>
      <w:tblPr>
        <w:tblStyle w:val="29"/>
        <w:tblW w:w="8519" w:type="dxa"/>
        <w:jc w:val="center"/>
        <w:tblLayout w:type="autofit"/>
        <w:tblCellMar>
          <w:top w:w="0" w:type="dxa"/>
          <w:left w:w="108" w:type="dxa"/>
          <w:bottom w:w="0" w:type="dxa"/>
          <w:right w:w="108" w:type="dxa"/>
        </w:tblCellMar>
      </w:tblPr>
      <w:tblGrid>
        <w:gridCol w:w="2184"/>
        <w:gridCol w:w="1838"/>
        <w:gridCol w:w="1167"/>
        <w:gridCol w:w="1665"/>
        <w:gridCol w:w="1665"/>
      </w:tblGrid>
      <w:tr>
        <w:tblPrEx>
          <w:tblCellMar>
            <w:top w:w="0" w:type="dxa"/>
            <w:left w:w="108" w:type="dxa"/>
            <w:bottom w:w="0" w:type="dxa"/>
            <w:right w:w="108" w:type="dxa"/>
          </w:tblCellMar>
        </w:tblPrEx>
        <w:trPr>
          <w:trHeight w:val="454" w:hRule="atLeast"/>
          <w:jc w:val="center"/>
        </w:trPr>
        <w:tc>
          <w:tcPr>
            <w:tcW w:w="2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w:t>
            </w:r>
          </w:p>
        </w:tc>
        <w:tc>
          <w:tcPr>
            <w:tcW w:w="183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容量</w:t>
            </w:r>
          </w:p>
        </w:tc>
        <w:tc>
          <w:tcPr>
            <w:tcW w:w="11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数量（台）</w:t>
            </w:r>
          </w:p>
        </w:tc>
        <w:tc>
          <w:tcPr>
            <w:tcW w:w="16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位置</w:t>
            </w:r>
          </w:p>
        </w:tc>
        <w:tc>
          <w:tcPr>
            <w:tcW w:w="16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22"/>
                <w:szCs w:val="22"/>
              </w:rPr>
              <w:t>巡检要求</w:t>
            </w: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HI3304</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40KVA/32KW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信息科</w:t>
            </w:r>
          </w:p>
        </w:tc>
        <w:tc>
          <w:tcPr>
            <w:tcW w:w="1665" w:type="dxa"/>
            <w:vMerge w:val="restart"/>
            <w:tcBorders>
              <w:top w:val="nil"/>
              <w:left w:val="nil"/>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每月巡检一次</w:t>
            </w: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3KVA</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放射科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特检科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B超室</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B超室</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CASTLE 6KS(6G) </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6KWVA/5.4KW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CASTLE 3K(6G)</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CSSTCE 10KS (6G)</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10KVA/9KW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EA810</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D3K</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EA3K-900</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3KWVA 2.1KW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检验科</w:t>
            </w:r>
          </w:p>
        </w:tc>
        <w:tc>
          <w:tcPr>
            <w:tcW w:w="1665"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CASTLE 3K(6G)</w:t>
            </w:r>
          </w:p>
        </w:tc>
        <w:tc>
          <w:tcPr>
            <w:tcW w:w="18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3KVA/2400W</w:t>
            </w:r>
          </w:p>
        </w:tc>
        <w:tc>
          <w:tcPr>
            <w:tcW w:w="11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新冠实验室</w:t>
            </w:r>
          </w:p>
        </w:tc>
        <w:tc>
          <w:tcPr>
            <w:tcW w:w="1665" w:type="dxa"/>
            <w:vMerge w:val="continue"/>
            <w:tcBorders>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atLeast"/>
          <w:jc w:val="center"/>
        </w:trPr>
        <w:tc>
          <w:tcPr>
            <w:tcW w:w="218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467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6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bl>
    <w:p>
      <w:pPr>
        <w:rPr>
          <w:rFonts w:ascii="宋体" w:hAnsi="宋体"/>
          <w:b/>
          <w:bCs/>
          <w:kern w:val="44"/>
          <w:sz w:val="30"/>
          <w:szCs w:val="30"/>
        </w:rPr>
      </w:pPr>
      <w:r>
        <w:rPr>
          <w:rFonts w:hint="eastAsia" w:ascii="宋体" w:hAnsi="宋体"/>
          <w:b/>
          <w:bCs/>
          <w:kern w:val="44"/>
          <w:sz w:val="30"/>
          <w:szCs w:val="30"/>
        </w:rPr>
        <w:t>三、E</w:t>
      </w:r>
      <w:r>
        <w:rPr>
          <w:rFonts w:ascii="宋体" w:hAnsi="宋体"/>
          <w:b/>
          <w:bCs/>
          <w:kern w:val="44"/>
          <w:sz w:val="30"/>
          <w:szCs w:val="30"/>
        </w:rPr>
        <w:t>PS系统清单</w:t>
      </w:r>
    </w:p>
    <w:tbl>
      <w:tblPr>
        <w:tblStyle w:val="29"/>
        <w:tblW w:w="8521" w:type="dxa"/>
        <w:jc w:val="center"/>
        <w:tblLayout w:type="autofit"/>
        <w:tblCellMar>
          <w:top w:w="0" w:type="dxa"/>
          <w:left w:w="108" w:type="dxa"/>
          <w:bottom w:w="0" w:type="dxa"/>
          <w:right w:w="108" w:type="dxa"/>
        </w:tblCellMar>
      </w:tblPr>
      <w:tblGrid>
        <w:gridCol w:w="2148"/>
        <w:gridCol w:w="1817"/>
        <w:gridCol w:w="1122"/>
        <w:gridCol w:w="1717"/>
        <w:gridCol w:w="1717"/>
      </w:tblGrid>
      <w:tr>
        <w:tblPrEx>
          <w:tblCellMar>
            <w:top w:w="0" w:type="dxa"/>
            <w:left w:w="108" w:type="dxa"/>
            <w:bottom w:w="0" w:type="dxa"/>
            <w:right w:w="108" w:type="dxa"/>
          </w:tblCellMar>
        </w:tblPrEx>
        <w:trPr>
          <w:trHeight w:val="510"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w:t>
            </w:r>
          </w:p>
        </w:tc>
        <w:tc>
          <w:tcPr>
            <w:tcW w:w="18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额定输出功率</w:t>
            </w:r>
          </w:p>
        </w:tc>
        <w:tc>
          <w:tcPr>
            <w:tcW w:w="11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数量（台）</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位置</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22"/>
                <w:szCs w:val="22"/>
              </w:rPr>
              <w:t>巡检要求</w:t>
            </w:r>
          </w:p>
        </w:tc>
      </w:tr>
      <w:tr>
        <w:tblPrEx>
          <w:tblCellMar>
            <w:top w:w="0" w:type="dxa"/>
            <w:left w:w="108" w:type="dxa"/>
            <w:bottom w:w="0" w:type="dxa"/>
            <w:right w:w="108" w:type="dxa"/>
          </w:tblCellMar>
        </w:tblPrEx>
        <w:trPr>
          <w:trHeight w:val="510" w:hRule="atLeast"/>
          <w:jc w:val="center"/>
        </w:trPr>
        <w:tc>
          <w:tcPr>
            <w:tcW w:w="214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ZG-D-3 KWV</w:t>
            </w:r>
          </w:p>
        </w:tc>
        <w:tc>
          <w:tcPr>
            <w:tcW w:w="18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w:t>
            </w:r>
          </w:p>
        </w:tc>
        <w:tc>
          <w:tcPr>
            <w:tcW w:w="11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1号楼</w:t>
            </w:r>
          </w:p>
        </w:tc>
        <w:tc>
          <w:tcPr>
            <w:tcW w:w="1717" w:type="dxa"/>
            <w:vMerge w:val="restart"/>
            <w:tcBorders>
              <w:top w:val="nil"/>
              <w:left w:val="nil"/>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每月巡检一次</w:t>
            </w:r>
          </w:p>
        </w:tc>
      </w:tr>
      <w:tr>
        <w:tblPrEx>
          <w:tblCellMar>
            <w:top w:w="0" w:type="dxa"/>
            <w:left w:w="108" w:type="dxa"/>
            <w:bottom w:w="0" w:type="dxa"/>
            <w:right w:w="108" w:type="dxa"/>
          </w:tblCellMar>
        </w:tblPrEx>
        <w:trPr>
          <w:trHeight w:val="510" w:hRule="atLeast"/>
          <w:jc w:val="center"/>
        </w:trPr>
        <w:tc>
          <w:tcPr>
            <w:tcW w:w="214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ZG-D-3 KWV</w:t>
            </w:r>
          </w:p>
        </w:tc>
        <w:tc>
          <w:tcPr>
            <w:tcW w:w="18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w:t>
            </w:r>
          </w:p>
        </w:tc>
        <w:tc>
          <w:tcPr>
            <w:tcW w:w="11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2号楼</w:t>
            </w:r>
          </w:p>
        </w:tc>
        <w:tc>
          <w:tcPr>
            <w:tcW w:w="1717"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14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ZG-D-3 KWV</w:t>
            </w:r>
          </w:p>
        </w:tc>
        <w:tc>
          <w:tcPr>
            <w:tcW w:w="18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w:t>
            </w:r>
          </w:p>
        </w:tc>
        <w:tc>
          <w:tcPr>
            <w:tcW w:w="11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3号楼</w:t>
            </w:r>
          </w:p>
        </w:tc>
        <w:tc>
          <w:tcPr>
            <w:tcW w:w="1717" w:type="dxa"/>
            <w:vMerge w:val="continue"/>
            <w:tcBorders>
              <w:left w:val="nil"/>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14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ZG-D-3 KWV</w:t>
            </w:r>
          </w:p>
        </w:tc>
        <w:tc>
          <w:tcPr>
            <w:tcW w:w="18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3KW</w:t>
            </w:r>
          </w:p>
        </w:tc>
        <w:tc>
          <w:tcPr>
            <w:tcW w:w="112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行政楼</w:t>
            </w:r>
          </w:p>
        </w:tc>
        <w:tc>
          <w:tcPr>
            <w:tcW w:w="1717" w:type="dxa"/>
            <w:vMerge w:val="continue"/>
            <w:tcBorders>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14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465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bl>
    <w:p/>
    <w:p/>
    <w:p/>
    <w:p/>
    <w:p/>
    <w:p/>
    <w:p/>
    <w:p>
      <w:pPr>
        <w:spacing w:line="360" w:lineRule="auto"/>
        <w:rPr>
          <w:rFonts w:ascii="宋体" w:hAnsi="宋体"/>
          <w:sz w:val="24"/>
        </w:rPr>
      </w:pPr>
    </w:p>
    <w:p>
      <w:pPr>
        <w:pStyle w:val="4"/>
        <w:tabs>
          <w:tab w:val="left" w:pos="3600"/>
        </w:tabs>
        <w:ind w:left="0"/>
        <w:jc w:val="center"/>
        <w:rPr>
          <w:rFonts w:ascii="宋体" w:hAnsi="宋体"/>
          <w:szCs w:val="36"/>
        </w:rPr>
      </w:pPr>
      <w:r>
        <w:rPr>
          <w:rFonts w:hint="eastAsia" w:ascii="宋体" w:hAnsi="宋体"/>
          <w:szCs w:val="36"/>
        </w:rPr>
        <w:t xml:space="preserve"> </w:t>
      </w:r>
      <w:bookmarkStart w:id="45" w:name="_Toc30372"/>
      <w:r>
        <w:rPr>
          <w:rFonts w:hint="eastAsia" w:ascii="宋体" w:hAnsi="宋体"/>
          <w:szCs w:val="36"/>
        </w:rPr>
        <w:t>投标人须知</w:t>
      </w:r>
      <w:bookmarkEnd w:id="45"/>
    </w:p>
    <w:p>
      <w:pPr>
        <w:pStyle w:val="28"/>
        <w:widowControl/>
        <w:spacing w:before="0" w:beforeAutospacing="0" w:after="0" w:afterAutospacing="0" w:line="315" w:lineRule="atLeast"/>
        <w:ind w:firstLine="280" w:firstLineChars="100"/>
        <w:rPr>
          <w:rStyle w:val="32"/>
          <w:rFonts w:ascii="微软雅黑" w:hAnsi="微软雅黑" w:eastAsia="微软雅黑" w:cs="微软雅黑"/>
          <w:bCs/>
          <w:color w:val="333333"/>
          <w:sz w:val="28"/>
          <w:szCs w:val="28"/>
          <w:shd w:val="clear" w:color="auto" w:fill="FFFFFF"/>
        </w:rPr>
      </w:pPr>
      <w:r>
        <w:rPr>
          <w:rStyle w:val="32"/>
          <w:rFonts w:hint="eastAsia" w:ascii="微软雅黑" w:hAnsi="微软雅黑" w:eastAsia="微软雅黑" w:cs="微软雅黑"/>
          <w:bCs/>
          <w:color w:val="333333"/>
          <w:sz w:val="28"/>
          <w:szCs w:val="28"/>
          <w:shd w:val="clear" w:color="auto" w:fill="FFFFFF"/>
        </w:rPr>
        <w:t>标书内容：</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1，报价单（投标价格包含运费、人工费、安装调试、含税等相关费用,最高限价人民币8万元）；</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2，有效证件（法人营业执照副本复印件等相关证件）；</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3，投标人授权书，详细的联系方式等相关涉及评分的资料。</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注：投标文件按以下的顺序提供资料，并做好目录及页码。</w:t>
      </w:r>
    </w:p>
    <w:tbl>
      <w:tblPr>
        <w:tblStyle w:val="29"/>
        <w:tblW w:w="8820" w:type="dxa"/>
        <w:tblInd w:w="0" w:type="dxa"/>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60"/>
        <w:gridCol w:w="5880"/>
        <w:gridCol w:w="1980"/>
      </w:tblGrid>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5" w:hRule="atLeast"/>
        </w:trPr>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序号</w:t>
            </w:r>
          </w:p>
        </w:tc>
        <w:tc>
          <w:tcPr>
            <w:tcW w:w="5880" w:type="dxa"/>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标书内容</w:t>
            </w:r>
          </w:p>
        </w:tc>
        <w:tc>
          <w:tcPr>
            <w:tcW w:w="1980" w:type="dxa"/>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页码</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000000"/>
                <w:sz w:val="21"/>
                <w:szCs w:val="21"/>
              </w:rPr>
              <w:t>1</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000000"/>
                <w:sz w:val="21"/>
                <w:szCs w:val="21"/>
              </w:rPr>
              <w:t>报价单</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rPr>
              <w:t>2</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rPr>
              <w:t>有效证件</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rPr>
              <w:t>3</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rPr>
              <w:t>投标人授权书，详细的联系方式等</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333333"/>
              </w:rPr>
            </w:pPr>
            <w:r>
              <w:rPr>
                <w:rFonts w:hint="eastAsia" w:ascii="宋体" w:hAnsi="宋体" w:cs="宋体"/>
                <w:color w:val="333333"/>
              </w:rPr>
              <w:t>4</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333333"/>
              </w:rPr>
            </w:pPr>
            <w:r>
              <w:rPr>
                <w:rFonts w:hint="eastAsia" w:ascii="宋体" w:hAnsi="宋体" w:cs="宋体"/>
                <w:color w:val="333333"/>
              </w:rPr>
              <w:t>公司资质、案例、证书等</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5</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整体维护方案</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960"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6</w:t>
            </w:r>
          </w:p>
        </w:tc>
        <w:tc>
          <w:tcPr>
            <w:tcW w:w="5880"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保障服务承诺</w:t>
            </w:r>
          </w:p>
        </w:tc>
        <w:tc>
          <w:tcPr>
            <w:tcW w:w="1980" w:type="dxa"/>
            <w:tcBorders>
              <w:top w:val="nil"/>
              <w:left w:val="nil"/>
              <w:bottom w:val="single" w:color="auto" w:sz="6" w:space="0"/>
              <w:right w:val="single" w:color="auto" w:sz="6" w:space="0"/>
            </w:tcBorders>
            <w:shd w:val="clear" w:color="auto" w:fill="FFFFFF"/>
            <w:vAlign w:val="center"/>
          </w:tcPr>
          <w:p>
            <w:pPr>
              <w:widowControl/>
              <w:jc w:val="left"/>
              <w:rPr>
                <w:rFonts w:ascii="Arial" w:hAnsi="Arial" w:cs="Arial"/>
                <w:color w:val="333333"/>
                <w:szCs w:val="21"/>
              </w:rPr>
            </w:pPr>
          </w:p>
        </w:tc>
      </w:tr>
    </w:tbl>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 </w:t>
      </w: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p>
    <w:p>
      <w:pPr>
        <w:pStyle w:val="28"/>
        <w:widowControl/>
        <w:spacing w:before="0" w:beforeAutospacing="0" w:after="0" w:afterAutospacing="0" w:line="315" w:lineRule="atLeast"/>
        <w:rPr>
          <w:rStyle w:val="32"/>
          <w:rFonts w:ascii="微软雅黑" w:hAnsi="微软雅黑" w:eastAsia="微软雅黑" w:cs="微软雅黑"/>
          <w:bCs/>
          <w:color w:val="333333"/>
          <w:sz w:val="28"/>
          <w:szCs w:val="28"/>
          <w:shd w:val="clear" w:color="auto" w:fill="FFFFFF"/>
        </w:rPr>
      </w:pPr>
      <w:r>
        <w:rPr>
          <w:rStyle w:val="32"/>
          <w:rFonts w:hint="eastAsia" w:ascii="微软雅黑" w:hAnsi="微软雅黑" w:eastAsia="微软雅黑" w:cs="微软雅黑"/>
          <w:bCs/>
          <w:color w:val="333333"/>
          <w:sz w:val="28"/>
          <w:szCs w:val="28"/>
          <w:shd w:val="clear" w:color="auto" w:fill="FFFFFF"/>
        </w:rPr>
        <w:t>评标办法：</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Style w:val="32"/>
          <w:rFonts w:hint="eastAsia" w:ascii="微软雅黑" w:hAnsi="微软雅黑" w:eastAsia="微软雅黑" w:cs="微软雅黑"/>
          <w:color w:val="333333"/>
          <w:sz w:val="21"/>
          <w:szCs w:val="21"/>
          <w:shd w:val="clear" w:color="auto" w:fill="FFFFFF"/>
        </w:rPr>
        <w:t>1</w:t>
      </w:r>
      <w:r>
        <w:rPr>
          <w:rStyle w:val="32"/>
          <w:rFonts w:hint="eastAsia" w:ascii="宋体" w:hAnsi="宋体" w:cs="宋体"/>
          <w:bCs/>
          <w:color w:val="333333"/>
          <w:shd w:val="clear" w:color="auto" w:fill="FFFFFF"/>
        </w:rPr>
        <w:t xml:space="preserve">、技术标评标      </w:t>
      </w:r>
      <w:r>
        <w:rPr>
          <w:rFonts w:hint="eastAsia" w:ascii="宋体" w:hAnsi="宋体" w:cs="宋体"/>
          <w:color w:val="333333"/>
          <w:sz w:val="21"/>
          <w:szCs w:val="21"/>
          <w:shd w:val="clear" w:color="auto" w:fill="FFFFFF"/>
        </w:rPr>
        <w:t>技术分满分为</w:t>
      </w:r>
      <w:r>
        <w:rPr>
          <w:rFonts w:hint="eastAsia" w:ascii="宋体" w:hAnsi="宋体" w:cs="宋体"/>
          <w:color w:val="333333"/>
          <w:shd w:val="clear" w:color="auto" w:fill="FFFFFF"/>
        </w:rPr>
        <w:t>70</w:t>
      </w:r>
      <w:r>
        <w:rPr>
          <w:rFonts w:hint="eastAsia" w:ascii="宋体" w:hAnsi="宋体" w:cs="宋体"/>
          <w:color w:val="333333"/>
          <w:sz w:val="21"/>
          <w:szCs w:val="21"/>
          <w:shd w:val="clear" w:color="auto" w:fill="FFFFFF"/>
        </w:rPr>
        <w:t>分，分值分配见表格。</w:t>
      </w:r>
    </w:p>
    <w:tbl>
      <w:tblPr>
        <w:tblStyle w:val="29"/>
        <w:tblW w:w="9180" w:type="dxa"/>
        <w:tblInd w:w="0" w:type="dxa"/>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2"/>
        <w:gridCol w:w="1544"/>
        <w:gridCol w:w="6225"/>
        <w:gridCol w:w="899"/>
      </w:tblGrid>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4" w:hRule="atLeast"/>
        </w:trPr>
        <w:tc>
          <w:tcPr>
            <w:tcW w:w="51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序号</w:t>
            </w:r>
          </w:p>
        </w:tc>
        <w:tc>
          <w:tcPr>
            <w:tcW w:w="1544" w:type="dxa"/>
            <w:vMerge w:val="restart"/>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评分内容</w:t>
            </w:r>
          </w:p>
        </w:tc>
        <w:tc>
          <w:tcPr>
            <w:tcW w:w="6225" w:type="dxa"/>
            <w:vMerge w:val="restart"/>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评分细则</w:t>
            </w:r>
          </w:p>
        </w:tc>
        <w:tc>
          <w:tcPr>
            <w:tcW w:w="899" w:type="dxa"/>
            <w:vMerge w:val="restart"/>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Style w:val="32"/>
                <w:rFonts w:hint="eastAsia" w:ascii="宋体" w:hAnsi="宋体" w:cs="宋体"/>
                <w:bCs/>
                <w:color w:val="333333"/>
                <w:sz w:val="21"/>
                <w:szCs w:val="21"/>
              </w:rPr>
              <w:t>分值</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51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jc w:val="left"/>
              <w:rPr>
                <w:rFonts w:ascii="Arial" w:hAnsi="Arial" w:cs="Arial"/>
                <w:color w:val="333333"/>
                <w:szCs w:val="21"/>
              </w:rPr>
            </w:pPr>
          </w:p>
        </w:tc>
        <w:tc>
          <w:tcPr>
            <w:tcW w:w="1544" w:type="dxa"/>
            <w:vMerge w:val="continue"/>
            <w:tcBorders>
              <w:top w:val="single" w:color="auto" w:sz="6" w:space="0"/>
              <w:left w:val="nil"/>
              <w:bottom w:val="single" w:color="auto" w:sz="6" w:space="0"/>
              <w:right w:val="single" w:color="auto" w:sz="6" w:space="0"/>
            </w:tcBorders>
            <w:shd w:val="clear" w:color="auto" w:fill="FFFFFF"/>
            <w:vAlign w:val="center"/>
          </w:tcPr>
          <w:p>
            <w:pPr>
              <w:jc w:val="left"/>
              <w:rPr>
                <w:rFonts w:ascii="Arial" w:hAnsi="Arial" w:cs="Arial"/>
                <w:color w:val="333333"/>
                <w:szCs w:val="21"/>
              </w:rPr>
            </w:pPr>
          </w:p>
        </w:tc>
        <w:tc>
          <w:tcPr>
            <w:tcW w:w="6225" w:type="dxa"/>
            <w:vMerge w:val="continue"/>
            <w:tcBorders>
              <w:top w:val="single" w:color="auto" w:sz="6" w:space="0"/>
              <w:left w:val="nil"/>
              <w:bottom w:val="single" w:color="auto" w:sz="6" w:space="0"/>
              <w:right w:val="single" w:color="auto" w:sz="6" w:space="0"/>
            </w:tcBorders>
            <w:shd w:val="clear" w:color="auto" w:fill="FFFFFF"/>
            <w:vAlign w:val="center"/>
          </w:tcPr>
          <w:p>
            <w:pPr>
              <w:jc w:val="left"/>
              <w:rPr>
                <w:rFonts w:ascii="Arial" w:hAnsi="Arial" w:cs="Arial"/>
                <w:color w:val="333333"/>
                <w:szCs w:val="21"/>
              </w:rPr>
            </w:pPr>
          </w:p>
        </w:tc>
        <w:tc>
          <w:tcPr>
            <w:tcW w:w="899" w:type="dxa"/>
            <w:vMerge w:val="continue"/>
            <w:tcBorders>
              <w:top w:val="single" w:color="auto" w:sz="6" w:space="0"/>
              <w:left w:val="nil"/>
              <w:bottom w:val="single" w:color="auto" w:sz="6" w:space="0"/>
              <w:right w:val="single" w:color="auto" w:sz="6" w:space="0"/>
            </w:tcBorders>
            <w:shd w:val="clear" w:color="auto" w:fill="FFFFFF"/>
            <w:vAlign w:val="center"/>
          </w:tcPr>
          <w:p>
            <w:pPr>
              <w:jc w:val="left"/>
              <w:rPr>
                <w:rFonts w:ascii="Arial" w:hAnsi="Arial" w:cs="Arial"/>
                <w:color w:val="333333"/>
                <w:szCs w:val="21"/>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51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000000"/>
                <w:sz w:val="21"/>
                <w:szCs w:val="21"/>
              </w:rPr>
            </w:pPr>
            <w:r>
              <w:rPr>
                <w:rFonts w:hint="eastAsia" w:ascii="宋体" w:hAnsi="宋体" w:cs="宋体"/>
                <w:color w:val="000000"/>
                <w:sz w:val="21"/>
                <w:szCs w:val="21"/>
              </w:rPr>
              <w:t>1</w:t>
            </w:r>
          </w:p>
        </w:tc>
        <w:tc>
          <w:tcPr>
            <w:tcW w:w="1544" w:type="dxa"/>
            <w:tcBorders>
              <w:top w:val="single" w:color="auto" w:sz="6" w:space="0"/>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000000"/>
                <w:sz w:val="21"/>
                <w:szCs w:val="21"/>
              </w:rPr>
            </w:pPr>
            <w:r>
              <w:rPr>
                <w:rFonts w:hint="eastAsia" w:ascii="宋体" w:hAnsi="宋体" w:cs="宋体"/>
                <w:color w:val="000000"/>
                <w:sz w:val="21"/>
                <w:szCs w:val="21"/>
              </w:rPr>
              <w:t>投标人资质</w:t>
            </w:r>
          </w:p>
        </w:tc>
        <w:tc>
          <w:tcPr>
            <w:tcW w:w="6225" w:type="dxa"/>
            <w:tcBorders>
              <w:top w:val="single" w:color="auto" w:sz="6" w:space="0"/>
              <w:left w:val="nil"/>
              <w:bottom w:val="single" w:color="auto" w:sz="6" w:space="0"/>
              <w:right w:val="single" w:color="auto" w:sz="6" w:space="0"/>
            </w:tcBorders>
            <w:shd w:val="clear" w:color="auto" w:fill="FFFFFF"/>
            <w:vAlign w:val="center"/>
          </w:tcPr>
          <w:p>
            <w:pPr>
              <w:rPr>
                <w:rFonts w:ascii="宋体" w:hAnsi="宋体" w:cs="宋体"/>
                <w:kern w:val="0"/>
                <w:sz w:val="24"/>
              </w:rPr>
            </w:pPr>
            <w:r>
              <w:rPr>
                <w:rFonts w:hint="eastAsia" w:ascii="宋体" w:hAnsi="宋体" w:cs="宋体"/>
                <w:kern w:val="0"/>
                <w:sz w:val="24"/>
              </w:rPr>
              <w:t>1、投标人具有电子与智能化工程专业承包贰级及以上资质证书得1分；</w:t>
            </w:r>
          </w:p>
          <w:p>
            <w:pPr>
              <w:rPr>
                <w:rFonts w:ascii="宋体" w:hAnsi="宋体" w:cs="宋体"/>
                <w:kern w:val="0"/>
                <w:sz w:val="24"/>
              </w:rPr>
            </w:pPr>
            <w:r>
              <w:rPr>
                <w:rFonts w:hint="eastAsia" w:ascii="宋体" w:hAnsi="宋体" w:cs="宋体"/>
                <w:kern w:val="0"/>
                <w:sz w:val="24"/>
              </w:rPr>
              <w:t>2、投标人具有ISO9001质量管理体系认证证书的得1分；</w:t>
            </w:r>
          </w:p>
          <w:p>
            <w:pPr>
              <w:rPr>
                <w:rFonts w:ascii="宋体" w:hAnsi="宋体" w:cs="宋体"/>
                <w:kern w:val="0"/>
                <w:sz w:val="24"/>
              </w:rPr>
            </w:pPr>
            <w:r>
              <w:rPr>
                <w:rFonts w:hint="eastAsia" w:ascii="宋体" w:hAnsi="宋体" w:cs="宋体"/>
                <w:kern w:val="0"/>
                <w:sz w:val="24"/>
              </w:rPr>
              <w:t xml:space="preserve">3、投标人具有ISO20000 </w:t>
            </w:r>
            <w:r>
              <w:rPr>
                <w:rFonts w:hint="eastAsia" w:cs="宋体"/>
                <w:kern w:val="0"/>
                <w:sz w:val="24"/>
              </w:rPr>
              <w:t>信息技术</w:t>
            </w:r>
            <w:r>
              <w:rPr>
                <w:rFonts w:hint="eastAsia" w:ascii="宋体" w:hAnsi="宋体" w:cs="宋体"/>
                <w:kern w:val="0"/>
                <w:sz w:val="24"/>
              </w:rPr>
              <w:t>服务管理</w:t>
            </w:r>
            <w:r>
              <w:rPr>
                <w:rFonts w:hint="eastAsia" w:cs="宋体"/>
                <w:kern w:val="0"/>
                <w:sz w:val="24"/>
              </w:rPr>
              <w:t>体系</w:t>
            </w:r>
            <w:r>
              <w:rPr>
                <w:rFonts w:hint="eastAsia" w:ascii="宋体" w:hAnsi="宋体" w:cs="宋体"/>
                <w:kern w:val="0"/>
                <w:sz w:val="24"/>
              </w:rPr>
              <w:t>认证证书的得1分；</w:t>
            </w:r>
          </w:p>
          <w:p>
            <w:pPr>
              <w:rPr>
                <w:rFonts w:ascii="宋体" w:hAnsi="宋体" w:cs="宋体"/>
                <w:kern w:val="0"/>
                <w:sz w:val="24"/>
              </w:rPr>
            </w:pPr>
            <w:r>
              <w:rPr>
                <w:rFonts w:hint="eastAsia" w:ascii="宋体" w:hAnsi="宋体" w:cs="宋体"/>
                <w:kern w:val="0"/>
                <w:sz w:val="24"/>
              </w:rPr>
              <w:t>4、投标人具有ISO27001</w:t>
            </w:r>
            <w:r>
              <w:rPr>
                <w:rFonts w:hint="eastAsia" w:cs="宋体"/>
                <w:kern w:val="0"/>
                <w:sz w:val="24"/>
              </w:rPr>
              <w:t>信息</w:t>
            </w:r>
            <w:r>
              <w:rPr>
                <w:rFonts w:hint="eastAsia" w:ascii="宋体" w:hAnsi="宋体" w:cs="宋体"/>
                <w:kern w:val="0"/>
                <w:sz w:val="24"/>
              </w:rPr>
              <w:t>安全管理体系认证证书的得1分；</w:t>
            </w:r>
          </w:p>
          <w:p>
            <w:pPr>
              <w:rPr>
                <w:rFonts w:ascii="宋体" w:hAnsi="宋体" w:cs="宋体"/>
                <w:kern w:val="0"/>
                <w:sz w:val="24"/>
              </w:rPr>
            </w:pPr>
            <w:r>
              <w:rPr>
                <w:rFonts w:hint="eastAsia" w:ascii="宋体" w:hAnsi="宋体" w:cs="宋体"/>
                <w:kern w:val="0"/>
                <w:sz w:val="24"/>
              </w:rPr>
              <w:t>5、投标人企业信用等级为“AAA”级以上的得1分；</w:t>
            </w:r>
          </w:p>
          <w:p>
            <w:pPr>
              <w:pStyle w:val="2"/>
              <w:rPr>
                <w:rFonts w:ascii="宋体" w:hAnsi="宋体" w:cs="宋体"/>
                <w:kern w:val="0"/>
                <w:sz w:val="24"/>
              </w:rPr>
            </w:pPr>
            <w:r>
              <w:rPr>
                <w:rFonts w:hint="eastAsia" w:ascii="宋体" w:hAnsi="宋体" w:cs="宋体"/>
                <w:kern w:val="0"/>
                <w:sz w:val="24"/>
              </w:rPr>
              <w:t>6、投标人具有信息系统安全集成服务资质的证书的，得1分；</w:t>
            </w:r>
          </w:p>
          <w:p>
            <w:pPr>
              <w:pStyle w:val="2"/>
              <w:rPr>
                <w:rFonts w:ascii="宋体" w:hAnsi="宋体" w:cs="宋体"/>
                <w:kern w:val="0"/>
                <w:sz w:val="24"/>
              </w:rPr>
            </w:pPr>
            <w:r>
              <w:rPr>
                <w:rFonts w:hint="eastAsia" w:ascii="宋体" w:hAnsi="宋体" w:cs="宋体"/>
                <w:kern w:val="0"/>
                <w:sz w:val="24"/>
              </w:rPr>
              <w:t>7、投标人具有信息系统安全运维服务资质证书的，得1分；</w:t>
            </w:r>
          </w:p>
          <w:p>
            <w:pPr>
              <w:pStyle w:val="2"/>
              <w:rPr>
                <w:rFonts w:ascii="宋体" w:hAnsi="宋体" w:cs="宋体"/>
                <w:kern w:val="0"/>
                <w:sz w:val="24"/>
              </w:rPr>
            </w:pPr>
            <w:r>
              <w:rPr>
                <w:rFonts w:hint="eastAsia" w:ascii="宋体" w:hAnsi="宋体" w:cs="宋体"/>
                <w:kern w:val="0"/>
                <w:sz w:val="24"/>
              </w:rPr>
              <w:t>8、投标人具有ITSS信息技术服务标准运行维护服务类资质证的，得1分。</w:t>
            </w:r>
          </w:p>
          <w:p>
            <w:pPr>
              <w:jc w:val="left"/>
              <w:rPr>
                <w:rFonts w:ascii="Arial" w:hAnsi="Arial" w:cs="Arial"/>
                <w:color w:val="333333"/>
                <w:szCs w:val="21"/>
              </w:rPr>
            </w:pPr>
            <w:r>
              <w:rPr>
                <w:rFonts w:hint="eastAsia" w:ascii="宋体" w:hAnsi="宋体" w:cs="宋体"/>
                <w:b/>
                <w:bCs/>
                <w:kern w:val="0"/>
                <w:sz w:val="24"/>
              </w:rPr>
              <w:t xml:space="preserve"> (以上证书需提供证书扫描件，扫描件进入投标文件，否则不得分)。</w:t>
            </w:r>
          </w:p>
        </w:tc>
        <w:tc>
          <w:tcPr>
            <w:tcW w:w="899" w:type="dxa"/>
            <w:tcBorders>
              <w:top w:val="single" w:color="auto" w:sz="6" w:space="0"/>
              <w:left w:val="nil"/>
              <w:bottom w:val="single" w:color="auto" w:sz="6" w:space="0"/>
              <w:right w:val="single" w:color="auto" w:sz="6" w:space="0"/>
            </w:tcBorders>
            <w:shd w:val="clear" w:color="auto" w:fill="FFFFFF"/>
            <w:vAlign w:val="center"/>
          </w:tcPr>
          <w:p>
            <w:pPr>
              <w:jc w:val="center"/>
              <w:rPr>
                <w:rFonts w:ascii="Arial" w:hAnsi="Arial" w:cs="Arial"/>
                <w:color w:val="333333"/>
                <w:szCs w:val="21"/>
              </w:rPr>
            </w:pPr>
            <w:r>
              <w:rPr>
                <w:rFonts w:hint="eastAsia" w:ascii="Arial" w:hAnsi="Arial" w:cs="Arial"/>
                <w:color w:val="333333"/>
                <w:szCs w:val="21"/>
              </w:rPr>
              <w:t>8</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512"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rPr>
                <w:rFonts w:ascii="微软雅黑" w:hAnsi="微软雅黑" w:eastAsia="微软雅黑" w:cs="微软雅黑"/>
                <w:color w:val="333333"/>
              </w:rPr>
            </w:pPr>
            <w:r>
              <w:rPr>
                <w:rStyle w:val="32"/>
                <w:rFonts w:hint="eastAsia" w:ascii="宋体" w:hAnsi="宋体" w:cs="宋体"/>
                <w:bCs/>
                <w:color w:val="333333"/>
                <w:sz w:val="21"/>
                <w:szCs w:val="21"/>
              </w:rPr>
              <w:t>2</w:t>
            </w:r>
          </w:p>
        </w:tc>
        <w:tc>
          <w:tcPr>
            <w:tcW w:w="1544"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000000"/>
                <w:sz w:val="21"/>
                <w:szCs w:val="21"/>
              </w:rPr>
              <w:t>案例</w:t>
            </w:r>
          </w:p>
        </w:tc>
        <w:tc>
          <w:tcPr>
            <w:tcW w:w="6225"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rPr>
                <w:rFonts w:ascii="宋体" w:hAnsi="宋体" w:cs="宋体"/>
                <w:color w:val="000000"/>
                <w:sz w:val="21"/>
                <w:szCs w:val="21"/>
              </w:rPr>
            </w:pPr>
            <w:r>
              <w:rPr>
                <w:rFonts w:hint="eastAsia" w:ascii="宋体" w:hAnsi="宋体" w:cs="宋体"/>
                <w:color w:val="000000"/>
                <w:sz w:val="21"/>
                <w:szCs w:val="21"/>
              </w:rPr>
              <w:t>能提供丽水市第二人民医院近3年的合同案例，每项合同2分，满分为10分。</w:t>
            </w:r>
          </w:p>
          <w:p>
            <w:pPr>
              <w:pStyle w:val="28"/>
              <w:widowControl/>
              <w:spacing w:before="210" w:beforeAutospacing="0" w:after="210" w:afterAutospacing="0"/>
              <w:rPr>
                <w:rFonts w:ascii="微软雅黑" w:hAnsi="微软雅黑" w:cs="微软雅黑"/>
                <w:color w:val="333333"/>
              </w:rPr>
            </w:pPr>
            <w:r>
              <w:rPr>
                <w:rFonts w:hint="eastAsia" w:ascii="宋体" w:hAnsi="宋体" w:cs="宋体"/>
                <w:color w:val="000000"/>
                <w:sz w:val="21"/>
                <w:szCs w:val="21"/>
              </w:rPr>
              <w:t>能提供机房等智能化维保维护案例的，近3年的合同案例，每项合同2分，满分为10分。</w:t>
            </w:r>
          </w:p>
        </w:tc>
        <w:tc>
          <w:tcPr>
            <w:tcW w:w="899"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Fonts w:hint="eastAsia" w:ascii="宋体" w:hAnsi="宋体" w:cs="宋体"/>
                <w:color w:val="333333"/>
                <w:sz w:val="21"/>
                <w:szCs w:val="21"/>
              </w:rPr>
              <w:t>20</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512"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rPr>
                <w:rStyle w:val="32"/>
                <w:rFonts w:ascii="宋体" w:hAnsi="宋体" w:cs="宋体"/>
                <w:bCs/>
                <w:color w:val="333333"/>
                <w:sz w:val="21"/>
                <w:szCs w:val="21"/>
              </w:rPr>
            </w:pPr>
            <w:r>
              <w:rPr>
                <w:rStyle w:val="32"/>
                <w:rFonts w:hint="eastAsia" w:ascii="宋体" w:hAnsi="宋体" w:cs="宋体"/>
                <w:bCs/>
                <w:color w:val="333333"/>
                <w:sz w:val="21"/>
                <w:szCs w:val="21"/>
              </w:rPr>
              <w:t>3</w:t>
            </w:r>
          </w:p>
        </w:tc>
        <w:tc>
          <w:tcPr>
            <w:tcW w:w="1544"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000000"/>
                <w:sz w:val="21"/>
                <w:szCs w:val="21"/>
              </w:rPr>
            </w:pPr>
            <w:r>
              <w:rPr>
                <w:rFonts w:hint="eastAsia" w:ascii="宋体" w:hAnsi="宋体" w:cs="宋体"/>
                <w:color w:val="000000"/>
                <w:sz w:val="21"/>
                <w:szCs w:val="21"/>
              </w:rPr>
              <w:t>人员资质</w:t>
            </w:r>
          </w:p>
        </w:tc>
        <w:tc>
          <w:tcPr>
            <w:tcW w:w="6225"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rPr>
                <w:rFonts w:ascii="宋体" w:hAnsi="宋体" w:cs="宋体"/>
                <w:color w:val="000000"/>
                <w:sz w:val="21"/>
                <w:szCs w:val="21"/>
              </w:rPr>
            </w:pPr>
            <w:r>
              <w:rPr>
                <w:rFonts w:hint="eastAsia" w:ascii="宋体" w:hAnsi="宋体" w:cs="宋体"/>
                <w:color w:val="000000"/>
                <w:sz w:val="21"/>
                <w:szCs w:val="21"/>
              </w:rPr>
              <w:t>项目组成员中，项目经理具有信息系统项目管理师（高级）证书得2分，项目组成员具有IT服务项目经理证书得2分，具有建筑电工特种作业操作资格证得2分，具有海康威视认证安防工程师证书得2分（提供证书复印件和相应6个月的社保证明，否则不得分，同一人多个证书只认定1项）。</w:t>
            </w:r>
          </w:p>
        </w:tc>
        <w:tc>
          <w:tcPr>
            <w:tcW w:w="899"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宋体" w:hAnsi="宋体" w:cs="宋体"/>
                <w:color w:val="333333"/>
                <w:sz w:val="21"/>
                <w:szCs w:val="21"/>
              </w:rPr>
            </w:pPr>
            <w:r>
              <w:rPr>
                <w:rFonts w:hint="eastAsia" w:ascii="宋体" w:hAnsi="宋体" w:cs="宋体"/>
                <w:color w:val="333333"/>
                <w:sz w:val="21"/>
                <w:szCs w:val="21"/>
              </w:rPr>
              <w:t>8</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512"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rPr>
                <w:rStyle w:val="32"/>
                <w:rFonts w:ascii="宋体" w:hAnsi="宋体" w:cs="宋体"/>
                <w:bCs/>
                <w:color w:val="333333"/>
                <w:sz w:val="21"/>
                <w:szCs w:val="21"/>
              </w:rPr>
            </w:pPr>
            <w:r>
              <w:rPr>
                <w:rStyle w:val="32"/>
                <w:rFonts w:hint="eastAsia" w:ascii="宋体" w:hAnsi="宋体" w:cs="宋体"/>
                <w:bCs/>
                <w:color w:val="333333"/>
                <w:sz w:val="21"/>
                <w:szCs w:val="21"/>
              </w:rPr>
              <w:t>4</w:t>
            </w:r>
          </w:p>
        </w:tc>
        <w:tc>
          <w:tcPr>
            <w:tcW w:w="1544"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宋体" w:hAnsi="宋体" w:cs="宋体"/>
                <w:color w:val="000000"/>
                <w:sz w:val="21"/>
                <w:szCs w:val="21"/>
              </w:rPr>
            </w:pPr>
            <w:r>
              <w:rPr>
                <w:rFonts w:hint="eastAsia" w:ascii="宋体" w:hAnsi="宋体" w:cs="宋体"/>
                <w:color w:val="000000"/>
                <w:sz w:val="21"/>
                <w:szCs w:val="21"/>
              </w:rPr>
              <w:t>服务本地化</w:t>
            </w:r>
          </w:p>
        </w:tc>
        <w:tc>
          <w:tcPr>
            <w:tcW w:w="6225"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rPr>
                <w:rFonts w:ascii="宋体" w:hAnsi="宋体" w:cs="宋体"/>
                <w:color w:val="000000"/>
                <w:sz w:val="21"/>
                <w:szCs w:val="21"/>
              </w:rPr>
            </w:pPr>
            <w:r>
              <w:rPr>
                <w:rFonts w:hint="eastAsia" w:ascii="宋体" w:hAnsi="宋体" w:cs="宋体"/>
                <w:color w:val="000000"/>
                <w:sz w:val="21"/>
                <w:szCs w:val="21"/>
              </w:rPr>
              <w:t>本项目需在浙江省丽水市区范围内有售后服务点（提供相应证明），人员提供相应6个月的社保证明。</w:t>
            </w:r>
          </w:p>
        </w:tc>
        <w:tc>
          <w:tcPr>
            <w:tcW w:w="899"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宋体" w:hAnsi="宋体" w:cs="宋体"/>
                <w:color w:val="333333"/>
                <w:sz w:val="21"/>
                <w:szCs w:val="21"/>
              </w:rPr>
            </w:pPr>
            <w:r>
              <w:rPr>
                <w:rFonts w:hint="eastAsia" w:ascii="宋体" w:hAnsi="宋体" w:cs="宋体"/>
                <w:color w:val="333333"/>
                <w:sz w:val="21"/>
                <w:szCs w:val="21"/>
              </w:rPr>
              <w:t>9</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512" w:type="dxa"/>
            <w:tcBorders>
              <w:top w:val="nil"/>
              <w:left w:val="single" w:color="auto" w:sz="6" w:space="0"/>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rPr>
                <w:rFonts w:ascii="微软雅黑" w:hAnsi="微软雅黑" w:eastAsia="微软雅黑" w:cs="微软雅黑"/>
                <w:color w:val="333333"/>
              </w:rPr>
            </w:pPr>
            <w:r>
              <w:rPr>
                <w:rStyle w:val="32"/>
                <w:rFonts w:hint="eastAsia" w:ascii="宋体" w:hAnsi="宋体" w:cs="宋体"/>
                <w:bCs/>
                <w:color w:val="333333"/>
                <w:sz w:val="21"/>
                <w:szCs w:val="21"/>
              </w:rPr>
              <w:t>5</w:t>
            </w:r>
          </w:p>
        </w:tc>
        <w:tc>
          <w:tcPr>
            <w:tcW w:w="1544"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整体维护方案</w:t>
            </w:r>
          </w:p>
        </w:tc>
        <w:tc>
          <w:tcPr>
            <w:tcW w:w="6225"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rPr>
                <w:rFonts w:ascii="微软雅黑" w:hAnsi="微软雅黑" w:eastAsia="微软雅黑" w:cs="微软雅黑"/>
                <w:color w:val="333333"/>
              </w:rPr>
            </w:pPr>
            <w:r>
              <w:rPr>
                <w:rFonts w:hint="eastAsia" w:ascii="宋体" w:hAnsi="宋体" w:cs="宋体"/>
                <w:color w:val="000000"/>
                <w:sz w:val="21"/>
                <w:szCs w:val="21"/>
              </w:rPr>
              <w:t>投标人维护方案的科学性、合理性、规范性和可操作性，包括安装调试、运行维护、培训等内容，评委根据情况酌情进行打分。</w:t>
            </w:r>
          </w:p>
        </w:tc>
        <w:tc>
          <w:tcPr>
            <w:tcW w:w="899" w:type="dxa"/>
            <w:tcBorders>
              <w:top w:val="nil"/>
              <w:left w:val="nil"/>
              <w:bottom w:val="single" w:color="auto" w:sz="6" w:space="0"/>
              <w:right w:val="single" w:color="auto" w:sz="6"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Fonts w:hint="eastAsia" w:ascii="宋体" w:hAnsi="宋体" w:cs="宋体"/>
                <w:color w:val="333333"/>
                <w:sz w:val="21"/>
                <w:szCs w:val="21"/>
              </w:rPr>
              <w:t>10</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line="315" w:lineRule="atLeast"/>
              <w:jc w:val="center"/>
              <w:rPr>
                <w:rStyle w:val="32"/>
                <w:rFonts w:ascii="宋体" w:hAnsi="宋体" w:cs="宋体"/>
                <w:bCs/>
                <w:color w:val="333333"/>
                <w:sz w:val="21"/>
                <w:szCs w:val="21"/>
              </w:rPr>
            </w:pPr>
            <w:r>
              <w:rPr>
                <w:rStyle w:val="32"/>
                <w:rFonts w:hint="eastAsia" w:ascii="宋体" w:hAnsi="宋体" w:cs="宋体"/>
                <w:bCs/>
                <w:color w:val="333333"/>
                <w:sz w:val="21"/>
                <w:szCs w:val="21"/>
              </w:rPr>
              <w:t>6</w:t>
            </w:r>
          </w:p>
        </w:tc>
        <w:tc>
          <w:tcPr>
            <w:tcW w:w="1544" w:type="dxa"/>
            <w:vMerge w:val="restart"/>
            <w:tcBorders>
              <w:top w:val="single" w:color="auto" w:sz="4" w:space="0"/>
              <w:left w:val="single" w:color="auto" w:sz="4" w:space="0"/>
              <w:right w:val="single" w:color="auto" w:sz="4" w:space="0"/>
            </w:tcBorders>
            <w:shd w:val="clear" w:color="auto" w:fill="FFFFFF"/>
            <w:vAlign w:val="center"/>
          </w:tcPr>
          <w:p>
            <w:pPr>
              <w:pStyle w:val="28"/>
              <w:widowControl/>
              <w:spacing w:before="210" w:beforeAutospacing="0" w:after="210" w:afterAutospacing="0"/>
              <w:jc w:val="center"/>
              <w:rPr>
                <w:rFonts w:ascii="微软雅黑" w:hAnsi="微软雅黑" w:eastAsia="微软雅黑" w:cs="微软雅黑"/>
                <w:color w:val="333333"/>
              </w:rPr>
            </w:pPr>
            <w:r>
              <w:rPr>
                <w:rFonts w:hint="eastAsia" w:ascii="宋体" w:hAnsi="宋体" w:cs="宋体"/>
                <w:color w:val="333333"/>
                <w:sz w:val="21"/>
                <w:szCs w:val="21"/>
              </w:rPr>
              <w:t>服务提供情况</w:t>
            </w:r>
          </w:p>
        </w:tc>
        <w:tc>
          <w:tcPr>
            <w:tcW w:w="62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rPr>
                <w:rFonts w:ascii="微软雅黑" w:hAnsi="微软雅黑" w:eastAsia="微软雅黑" w:cs="微软雅黑"/>
                <w:color w:val="333333"/>
              </w:rPr>
            </w:pPr>
            <w:r>
              <w:rPr>
                <w:rFonts w:hint="eastAsia" w:ascii="宋体" w:hAnsi="宋体" w:cs="宋体"/>
                <w:color w:val="333333"/>
                <w:sz w:val="21"/>
                <w:szCs w:val="21"/>
              </w:rPr>
              <w:t>根据供应商售后服务方案、备品备件、故障处理时间等内容进行综合考虑打分，本项</w:t>
            </w:r>
            <w:r>
              <w:rPr>
                <w:rFonts w:hint="eastAsia"/>
                <w:color w:val="333333"/>
                <w:sz w:val="21"/>
                <w:szCs w:val="21"/>
              </w:rPr>
              <w:t>10</w:t>
            </w:r>
            <w:r>
              <w:rPr>
                <w:rFonts w:hint="eastAsia" w:ascii="宋体" w:hAnsi="宋体" w:cs="宋体"/>
                <w:color w:val="333333"/>
                <w:sz w:val="21"/>
                <w:szCs w:val="21"/>
              </w:rPr>
              <w:t>分</w:t>
            </w:r>
          </w:p>
        </w:tc>
        <w:tc>
          <w:tcPr>
            <w:tcW w:w="8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line="315" w:lineRule="atLeast"/>
              <w:jc w:val="center"/>
              <w:textAlignment w:val="center"/>
              <w:rPr>
                <w:rFonts w:ascii="微软雅黑" w:hAnsi="微软雅黑" w:eastAsia="微软雅黑" w:cs="微软雅黑"/>
                <w:color w:val="333333"/>
              </w:rPr>
            </w:pPr>
            <w:r>
              <w:rPr>
                <w:rFonts w:hint="eastAsia" w:ascii="宋体" w:hAnsi="宋体" w:cs="宋体"/>
                <w:color w:val="333333"/>
                <w:sz w:val="21"/>
                <w:szCs w:val="21"/>
              </w:rPr>
              <w:t>10</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line="315" w:lineRule="atLeast"/>
              <w:jc w:val="center"/>
              <w:rPr>
                <w:rStyle w:val="32"/>
                <w:rFonts w:ascii="宋体" w:hAnsi="宋体" w:cs="宋体"/>
                <w:bCs/>
                <w:color w:val="333333"/>
                <w:sz w:val="21"/>
                <w:szCs w:val="21"/>
              </w:rPr>
            </w:pPr>
            <w:r>
              <w:rPr>
                <w:rStyle w:val="32"/>
                <w:rFonts w:hint="eastAsia" w:ascii="宋体" w:hAnsi="宋体" w:cs="宋体"/>
                <w:bCs/>
                <w:color w:val="333333"/>
                <w:sz w:val="21"/>
                <w:szCs w:val="21"/>
              </w:rPr>
              <w:t>7</w:t>
            </w:r>
          </w:p>
        </w:tc>
        <w:tc>
          <w:tcPr>
            <w:tcW w:w="1544" w:type="dxa"/>
            <w:vMerge w:val="continue"/>
            <w:tcBorders>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jc w:val="center"/>
              <w:rPr>
                <w:rFonts w:ascii="宋体" w:hAnsi="宋体" w:cs="宋体"/>
                <w:color w:val="333333"/>
                <w:sz w:val="21"/>
                <w:szCs w:val="21"/>
              </w:rPr>
            </w:pPr>
          </w:p>
        </w:tc>
        <w:tc>
          <w:tcPr>
            <w:tcW w:w="62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rPr>
                <w:rFonts w:ascii="宋体" w:hAnsi="宋体" w:cs="宋体"/>
                <w:color w:val="333333"/>
                <w:sz w:val="21"/>
                <w:szCs w:val="21"/>
              </w:rPr>
            </w:pPr>
            <w:r>
              <w:rPr>
                <w:rFonts w:hint="eastAsia" w:ascii="宋体" w:hAnsi="宋体" w:cs="宋体"/>
              </w:rPr>
              <w:t>技术培训服务：根据各投标人提供弱电系统的技术培训服务完整性进行评定，满分5分</w:t>
            </w:r>
          </w:p>
        </w:tc>
        <w:tc>
          <w:tcPr>
            <w:tcW w:w="8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widowControl/>
              <w:spacing w:before="210" w:beforeAutospacing="0" w:after="210" w:afterAutospacing="0" w:line="315" w:lineRule="atLeast"/>
              <w:jc w:val="center"/>
              <w:textAlignment w:val="center"/>
              <w:rPr>
                <w:rFonts w:ascii="宋体" w:hAnsi="宋体" w:cs="宋体"/>
                <w:color w:val="333333"/>
                <w:sz w:val="21"/>
                <w:szCs w:val="21"/>
              </w:rPr>
            </w:pPr>
            <w:r>
              <w:rPr>
                <w:rFonts w:hint="eastAsia" w:ascii="宋体" w:hAnsi="宋体" w:cs="宋体"/>
                <w:color w:val="333333"/>
                <w:sz w:val="21"/>
                <w:szCs w:val="21"/>
              </w:rPr>
              <w:t>5</w:t>
            </w:r>
          </w:p>
        </w:tc>
      </w:tr>
    </w:tbl>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t> </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Style w:val="32"/>
          <w:rFonts w:hint="eastAsia" w:ascii="宋体" w:hAnsi="宋体" w:cs="宋体"/>
          <w:bCs/>
          <w:color w:val="333333"/>
          <w:shd w:val="clear" w:color="auto" w:fill="FFFFFF"/>
        </w:rPr>
        <w:t>2、商务标评标</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按以下步骤确定进入商务标评审的范围：</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甄别异常报价：有下列情况之一的投标报价不进入商务评标：</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（1）投标报价高于最高限价；</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Fonts w:hint="eastAsia" w:ascii="宋体" w:hAnsi="宋体" w:cs="宋体"/>
          <w:color w:val="333333"/>
          <w:shd w:val="clear" w:color="auto" w:fill="FFFFFF"/>
        </w:rPr>
        <w:t>(2)</w:t>
      </w:r>
      <w:r>
        <w:rPr>
          <w:rFonts w:hint="eastAsia" w:ascii="宋体" w:hAnsi="宋体" w:cs="宋体"/>
          <w:color w:val="333333"/>
          <w:sz w:val="21"/>
          <w:szCs w:val="21"/>
          <w:shd w:val="clear" w:color="auto" w:fill="FFFFFF"/>
        </w:rPr>
        <w:t>分析总报价及各个分项报价是否合理、报价范围是否完整、有否重大错漏项。如评标委员会一致认为最低投标报价或某些分项明显不合理，有降低质量、不能诚信履约的可能时，评标委员会有权通知投标方限期进行解释。如投标方未在规定期限内做出解释，或所作解释不合理，经评标委员会取得一致意见后，可列为异常报价，确定该投标为无效标。</w:t>
      </w:r>
    </w:p>
    <w:p>
      <w:pPr>
        <w:pStyle w:val="28"/>
        <w:widowControl/>
        <w:shd w:val="clear" w:color="auto" w:fill="FFFFFF"/>
        <w:spacing w:before="210" w:beforeAutospacing="0" w:after="210" w:afterAutospacing="0" w:line="315" w:lineRule="atLeast"/>
        <w:ind w:firstLine="465"/>
        <w:rPr>
          <w:rFonts w:ascii="微软雅黑" w:hAnsi="微软雅黑" w:eastAsia="微软雅黑" w:cs="微软雅黑"/>
          <w:color w:val="333333"/>
          <w:sz w:val="21"/>
          <w:szCs w:val="21"/>
        </w:rPr>
      </w:pPr>
      <w:r>
        <w:rPr>
          <w:rFonts w:hint="eastAsia" w:ascii="宋体" w:hAnsi="宋体" w:cs="宋体"/>
          <w:color w:val="333333"/>
          <w:shd w:val="clear" w:color="auto" w:fill="FFFFFF"/>
        </w:rPr>
        <w:t>商务标详细评审（30分）</w:t>
      </w:r>
    </w:p>
    <w:p>
      <w:pPr>
        <w:pStyle w:val="28"/>
        <w:widowControl/>
        <w:shd w:val="clear" w:color="auto" w:fill="FFFFFF"/>
        <w:spacing w:before="0" w:beforeAutospacing="0" w:after="0" w:afterAutospacing="0" w:line="315" w:lineRule="atLeast"/>
        <w:ind w:left="285" w:firstLine="120"/>
        <w:rPr>
          <w:rFonts w:ascii="微软雅黑" w:hAnsi="微软雅黑" w:eastAsia="微软雅黑" w:cs="微软雅黑"/>
          <w:color w:val="333333"/>
          <w:sz w:val="21"/>
          <w:szCs w:val="21"/>
        </w:rPr>
      </w:pPr>
      <w:r>
        <w:rPr>
          <w:rFonts w:hint="eastAsia" w:ascii="宋体" w:hAnsi="宋体" w:cs="宋体"/>
          <w:color w:val="333333"/>
          <w:shd w:val="clear" w:color="auto" w:fill="FFFFFF"/>
        </w:rPr>
        <w:t>（1）评标基准价以满足招标文件要求且投标价格最低的投标报价为评标基准价，其商务报价分为30分。</w:t>
      </w:r>
    </w:p>
    <w:p>
      <w:pPr>
        <w:pStyle w:val="28"/>
        <w:widowControl/>
        <w:shd w:val="clear" w:color="auto" w:fill="FFFFFF"/>
        <w:spacing w:before="0" w:beforeAutospacing="0" w:after="0" w:afterAutospacing="0" w:line="315" w:lineRule="atLeast"/>
        <w:ind w:left="285" w:firstLine="120"/>
        <w:rPr>
          <w:rFonts w:ascii="微软雅黑" w:hAnsi="微软雅黑" w:eastAsia="微软雅黑" w:cs="微软雅黑"/>
          <w:color w:val="333333"/>
          <w:sz w:val="21"/>
          <w:szCs w:val="21"/>
        </w:rPr>
      </w:pPr>
      <w:r>
        <w:rPr>
          <w:rFonts w:hint="eastAsia" w:ascii="宋体" w:hAnsi="宋体" w:cs="宋体"/>
          <w:color w:val="333333"/>
          <w:shd w:val="clear" w:color="auto" w:fill="FFFFFF"/>
        </w:rPr>
        <w:t>（2）商务得分计算。</w:t>
      </w:r>
    </w:p>
    <w:p>
      <w:pPr>
        <w:pStyle w:val="28"/>
        <w:widowControl/>
        <w:shd w:val="clear" w:color="auto" w:fill="FFFFFF"/>
        <w:spacing w:before="0" w:beforeAutospacing="0" w:after="0" w:afterAutospacing="0" w:line="315" w:lineRule="atLeast"/>
        <w:ind w:left="360" w:firstLine="720"/>
        <w:rPr>
          <w:rFonts w:ascii="微软雅黑" w:hAnsi="微软雅黑" w:eastAsia="微软雅黑" w:cs="微软雅黑"/>
          <w:color w:val="333333"/>
          <w:sz w:val="21"/>
          <w:szCs w:val="21"/>
        </w:rPr>
      </w:pPr>
      <w:r>
        <w:rPr>
          <w:rFonts w:hint="eastAsia" w:ascii="宋体" w:hAnsi="宋体" w:cs="宋体"/>
          <w:color w:val="333333"/>
          <w:shd w:val="clear" w:color="auto" w:fill="FFFFFF"/>
        </w:rPr>
        <w:t>商务得分=（评标基准价/投标报价）×30%×100，保留小数2位</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Style w:val="32"/>
          <w:rFonts w:hint="eastAsia" w:ascii="宋体" w:hAnsi="宋体" w:cs="宋体"/>
          <w:bCs/>
          <w:color w:val="333333"/>
          <w:shd w:val="clear" w:color="auto" w:fill="FFFFFF"/>
        </w:rPr>
        <w:t>3、计算总分（满分为100分）</w:t>
      </w:r>
    </w:p>
    <w:p>
      <w:pPr>
        <w:pStyle w:val="28"/>
        <w:widowControl/>
        <w:shd w:val="clear" w:color="auto" w:fill="FFFFFF"/>
        <w:spacing w:before="210" w:beforeAutospacing="0" w:after="210" w:afterAutospacing="0" w:line="315" w:lineRule="atLeast"/>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t>   </w:t>
      </w:r>
      <w:r>
        <w:rPr>
          <w:rFonts w:hint="eastAsia" w:ascii="宋体" w:hAnsi="宋体" w:cs="宋体"/>
          <w:color w:val="333333"/>
          <w:sz w:val="21"/>
          <w:szCs w:val="21"/>
          <w:shd w:val="clear" w:color="auto" w:fill="FFFFFF"/>
        </w:rPr>
        <w:t>计算方法：投标人总得分</w:t>
      </w:r>
      <w:r>
        <w:rPr>
          <w:rFonts w:hint="eastAsia" w:ascii="微软雅黑" w:hAnsi="微软雅黑" w:eastAsia="微软雅黑" w:cs="微软雅黑"/>
          <w:color w:val="333333"/>
          <w:sz w:val="21"/>
          <w:szCs w:val="21"/>
          <w:shd w:val="clear" w:color="auto" w:fill="FFFFFF"/>
        </w:rPr>
        <w:t> = </w:t>
      </w:r>
      <w:r>
        <w:rPr>
          <w:rFonts w:hint="eastAsia" w:ascii="宋体" w:hAnsi="宋体" w:cs="宋体"/>
          <w:color w:val="333333"/>
          <w:sz w:val="21"/>
          <w:szCs w:val="21"/>
          <w:shd w:val="clear" w:color="auto" w:fill="FFFFFF"/>
        </w:rPr>
        <w:t>技术标评审得分</w:t>
      </w:r>
      <w:r>
        <w:rPr>
          <w:rFonts w:eastAsia="微软雅黑"/>
          <w:color w:val="333333"/>
          <w:sz w:val="21"/>
          <w:szCs w:val="21"/>
          <w:shd w:val="clear" w:color="auto" w:fill="FFFFFF"/>
        </w:rPr>
        <w:t>+ </w:t>
      </w:r>
      <w:r>
        <w:rPr>
          <w:rFonts w:hint="eastAsia" w:ascii="宋体" w:hAnsi="宋体" w:cs="宋体"/>
          <w:color w:val="333333"/>
          <w:sz w:val="21"/>
          <w:szCs w:val="21"/>
          <w:shd w:val="clear" w:color="auto" w:fill="FFFFFF"/>
        </w:rPr>
        <w:t>商务标评审得分</w:t>
      </w:r>
    </w:p>
    <w:p>
      <w:pPr>
        <w:pStyle w:val="28"/>
        <w:widowControl/>
        <w:shd w:val="clear" w:color="auto" w:fill="FFFFFF"/>
        <w:spacing w:before="210" w:beforeAutospacing="0" w:after="210" w:afterAutospacing="0" w:line="315" w:lineRule="atLeast"/>
        <w:ind w:firstLine="480"/>
        <w:rPr>
          <w:rFonts w:ascii="微软雅黑" w:hAnsi="微软雅黑" w:eastAsia="微软雅黑" w:cs="微软雅黑"/>
          <w:color w:val="333333"/>
          <w:sz w:val="21"/>
          <w:szCs w:val="21"/>
        </w:rPr>
      </w:pPr>
      <w:r>
        <w:rPr>
          <w:rStyle w:val="32"/>
          <w:rFonts w:hint="eastAsia" w:ascii="宋体" w:hAnsi="宋体" w:cs="宋体"/>
          <w:bCs/>
          <w:color w:val="333333"/>
          <w:shd w:val="clear" w:color="auto" w:fill="FFFFFF"/>
        </w:rPr>
        <w:t>4、总分最高则为中标单位。</w:t>
      </w:r>
    </w:p>
    <w:p/>
    <w:p>
      <w:pPr>
        <w:spacing w:line="360" w:lineRule="auto"/>
        <w:rPr>
          <w:rFonts w:ascii="宋体" w:hAnsi="宋体"/>
          <w:sz w:val="24"/>
        </w:rPr>
      </w:pPr>
      <w:bookmarkStart w:id="46" w:name="_GoBack"/>
      <w:bookmarkEnd w:id="46"/>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19</w:t>
    </w:r>
    <w:r>
      <w:rPr>
        <w:rFonts w:ascii="宋体" w:hAnsi="宋体"/>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919EC67A"/>
    <w:multiLevelType w:val="singleLevel"/>
    <w:tmpl w:val="919EC67A"/>
    <w:lvl w:ilvl="0" w:tentative="0">
      <w:start w:val="1"/>
      <w:numFmt w:val="decimal"/>
      <w:lvlText w:val="(%1)"/>
      <w:lvlJc w:val="left"/>
      <w:pPr>
        <w:ind w:left="425" w:hanging="425"/>
      </w:pPr>
      <w:rPr>
        <w:rFonts w:hint="default"/>
      </w:rPr>
    </w:lvl>
  </w:abstractNum>
  <w:abstractNum w:abstractNumId="1">
    <w:nsid w:val="A48EC7FD"/>
    <w:multiLevelType w:val="multilevel"/>
    <w:tmpl w:val="A48EC7FD"/>
    <w:lvl w:ilvl="0" w:tentative="0">
      <w:start w:val="1"/>
      <w:numFmt w:val="decimal"/>
      <w:lvlText w:val="1.3.%1"/>
      <w:lvlJc w:val="left"/>
      <w:pPr>
        <w:ind w:left="420" w:hanging="420"/>
      </w:pPr>
      <w:rPr>
        <w:rFonts w:hint="default" w:ascii="宋体" w:hAnsi="宋体" w:eastAsia="宋体" w:cs="宋体"/>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C85EA4"/>
    <w:multiLevelType w:val="multilevel"/>
    <w:tmpl w:val="02C85EA4"/>
    <w:lvl w:ilvl="0" w:tentative="0">
      <w:start w:val="1"/>
      <w:numFmt w:val="decimal"/>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
    <w:nsid w:val="03016BFF"/>
    <w:multiLevelType w:val="multilevel"/>
    <w:tmpl w:val="03016BFF"/>
    <w:lvl w:ilvl="0" w:tentative="0">
      <w:start w:val="1"/>
      <w:numFmt w:val="decimal"/>
      <w:lvlText w:val="%1)"/>
      <w:lvlJc w:val="left"/>
      <w:pPr>
        <w:tabs>
          <w:tab w:val="left" w:pos="840"/>
        </w:tabs>
        <w:ind w:left="840" w:hanging="420"/>
      </w:p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A44782C"/>
    <w:multiLevelType w:val="multilevel"/>
    <w:tmpl w:val="0A44782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133F1061"/>
    <w:multiLevelType w:val="multilevel"/>
    <w:tmpl w:val="133F1061"/>
    <w:lvl w:ilvl="0" w:tentative="0">
      <w:start w:val="1"/>
      <w:numFmt w:val="bullet"/>
      <w:lvlText w:val=""/>
      <w:lvlJc w:val="left"/>
      <w:pPr>
        <w:tabs>
          <w:tab w:val="left" w:pos="1260"/>
        </w:tabs>
        <w:ind w:left="1260" w:hanging="420"/>
      </w:pPr>
      <w:rPr>
        <w:rFonts w:hint="default" w:ascii="Wingdings" w:hAnsi="Wingdings"/>
      </w:rPr>
    </w:lvl>
    <w:lvl w:ilvl="1" w:tentative="0">
      <w:start w:val="1"/>
      <w:numFmt w:val="decimal"/>
      <w:lvlText w:val="%2)"/>
      <w:lvlJc w:val="left"/>
      <w:pPr>
        <w:tabs>
          <w:tab w:val="left" w:pos="1680"/>
        </w:tabs>
        <w:ind w:left="168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471741C"/>
    <w:multiLevelType w:val="multilevel"/>
    <w:tmpl w:val="1471741C"/>
    <w:lvl w:ilvl="0" w:tentative="0">
      <w:start w:val="1"/>
      <w:numFmt w:val="bullet"/>
      <w:lvlText w:val=""/>
      <w:lvlJc w:val="left"/>
      <w:pPr>
        <w:tabs>
          <w:tab w:val="left" w:pos="1260"/>
        </w:tabs>
        <w:ind w:left="1260" w:hanging="420"/>
      </w:pPr>
      <w:rPr>
        <w:rFonts w:hint="default" w:ascii="Wingdings" w:hAnsi="Wingdings"/>
      </w:rPr>
    </w:lvl>
    <w:lvl w:ilvl="1" w:tentative="0">
      <w:start w:val="1"/>
      <w:numFmt w:val="decimal"/>
      <w:lvlText w:val="%2)"/>
      <w:lvlJc w:val="left"/>
      <w:pPr>
        <w:tabs>
          <w:tab w:val="left" w:pos="1680"/>
        </w:tabs>
        <w:ind w:left="168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AEA2CD9"/>
    <w:multiLevelType w:val="multilevel"/>
    <w:tmpl w:val="1AEA2CD9"/>
    <w:lvl w:ilvl="0" w:tentative="0">
      <w:start w:val="1"/>
      <w:numFmt w:val="decimal"/>
      <w:lvlText w:val="%1)"/>
      <w:lvlJc w:val="left"/>
      <w:pPr>
        <w:tabs>
          <w:tab w:val="left" w:pos="840"/>
        </w:tabs>
        <w:ind w:left="840" w:hanging="420"/>
      </w:pPr>
      <w:rPr>
        <w:rFonts w:ascii="宋体" w:hAnsi="宋体" w:eastAsia="宋体"/>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46C0DA1"/>
    <w:multiLevelType w:val="multilevel"/>
    <w:tmpl w:val="246C0DA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PicBulletId w:val="0"/>
      <w:lvlJc w:val="left"/>
      <w:pPr>
        <w:tabs>
          <w:tab w:val="left" w:pos="1320"/>
        </w:tabs>
        <w:ind w:left="1320" w:hanging="420"/>
      </w:pPr>
      <w:rPr>
        <w:rFonts w:hint="default" w:ascii="Wingdings" w:hAnsi="Wingdings"/>
      </w:rPr>
    </w:lvl>
    <w:lvl w:ilvl="2" w:tentative="0">
      <w:start w:val="1"/>
      <w:numFmt w:val="decimal"/>
      <w:lvlText w:val="%3、"/>
      <w:lvlJc w:val="left"/>
      <w:pPr>
        <w:tabs>
          <w:tab w:val="left" w:pos="540"/>
        </w:tabs>
        <w:ind w:left="54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25AA1CED"/>
    <w:multiLevelType w:val="multilevel"/>
    <w:tmpl w:val="25AA1CED"/>
    <w:lvl w:ilvl="0" w:tentative="0">
      <w:start w:val="1"/>
      <w:numFmt w:val="decimal"/>
      <w:lvlText w:val="%1."/>
      <w:lvlJc w:val="left"/>
      <w:pPr>
        <w:ind w:left="1358" w:hanging="420"/>
      </w:p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10">
    <w:nsid w:val="29E27491"/>
    <w:multiLevelType w:val="multilevel"/>
    <w:tmpl w:val="29E27491"/>
    <w:lvl w:ilvl="0" w:tentative="0">
      <w:start w:val="1"/>
      <w:numFmt w:val="decimal"/>
      <w:lvlText w:val="%1)"/>
      <w:lvlJc w:val="left"/>
      <w:pPr>
        <w:tabs>
          <w:tab w:val="left" w:pos="840"/>
        </w:tabs>
        <w:ind w:left="840" w:hanging="420"/>
      </w:pPr>
      <w:rPr>
        <w:rFonts w:ascii="宋体" w:hAnsi="宋体" w:eastAsia="宋体"/>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0FC7368"/>
    <w:multiLevelType w:val="multilevel"/>
    <w:tmpl w:val="30FC7368"/>
    <w:lvl w:ilvl="0" w:tentative="0">
      <w:start w:val="1"/>
      <w:numFmt w:val="decimal"/>
      <w:lvlText w:val="%1)"/>
      <w:lvlJc w:val="left"/>
      <w:pPr>
        <w:tabs>
          <w:tab w:val="left" w:pos="780"/>
        </w:tabs>
        <w:ind w:left="780" w:hanging="420"/>
      </w:pPr>
      <w:rPr>
        <w:rFonts w:ascii="宋体" w:hAnsi="宋体" w:eastAsia="宋体"/>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7FB7912"/>
    <w:multiLevelType w:val="multilevel"/>
    <w:tmpl w:val="37FB7912"/>
    <w:lvl w:ilvl="0" w:tentative="0">
      <w:start w:val="1"/>
      <w:numFmt w:val="decimal"/>
      <w:lvlText w:val="1.4.%1"/>
      <w:lvlJc w:val="left"/>
      <w:pPr>
        <w:ind w:left="420" w:hanging="420"/>
      </w:pPr>
      <w:rPr>
        <w:rFonts w:hint="default" w:ascii="宋体" w:hAnsi="宋体" w:eastAsia="宋体" w:cs="宋体"/>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A1765"/>
    <w:multiLevelType w:val="multilevel"/>
    <w:tmpl w:val="404A176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472D3C24"/>
    <w:multiLevelType w:val="singleLevel"/>
    <w:tmpl w:val="472D3C24"/>
    <w:lvl w:ilvl="0" w:tentative="0">
      <w:start w:val="1"/>
      <w:numFmt w:val="bullet"/>
      <w:lvlText w:val=""/>
      <w:lvlJc w:val="left"/>
      <w:pPr>
        <w:tabs>
          <w:tab w:val="left" w:pos="360"/>
        </w:tabs>
        <w:ind w:left="360" w:hanging="360"/>
      </w:pPr>
      <w:rPr>
        <w:rFonts w:hint="default" w:ascii="Wingdings" w:hAnsi="Wingdings"/>
        <w:sz w:val="20"/>
      </w:rPr>
    </w:lvl>
  </w:abstractNum>
  <w:abstractNum w:abstractNumId="15">
    <w:nsid w:val="49715CB4"/>
    <w:multiLevelType w:val="multilevel"/>
    <w:tmpl w:val="49715CB4"/>
    <w:lvl w:ilvl="0" w:tentative="0">
      <w:start w:val="1"/>
      <w:numFmt w:val="decimal"/>
      <w:lvlText w:val="1.5.%1"/>
      <w:lvlJc w:val="left"/>
      <w:pPr>
        <w:ind w:left="420" w:hanging="420"/>
      </w:pPr>
      <w:rPr>
        <w:rFonts w:hint="default" w:ascii="宋体" w:hAnsi="宋体" w:eastAsia="宋体" w:cs="宋体"/>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AC049D"/>
    <w:multiLevelType w:val="multilevel"/>
    <w:tmpl w:val="54AC049D"/>
    <w:lvl w:ilvl="0" w:tentative="0">
      <w:start w:val="1"/>
      <w:numFmt w:val="decimal"/>
      <w:lvlText w:val="%1)"/>
      <w:lvlJc w:val="left"/>
      <w:pPr>
        <w:tabs>
          <w:tab w:val="left" w:pos="840"/>
        </w:tabs>
        <w:ind w:left="840" w:hanging="420"/>
      </w:pPr>
      <w:rPr>
        <w:rFonts w:ascii="宋体" w:hAnsi="宋体" w:eastAsia="宋体"/>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AC90D03"/>
    <w:multiLevelType w:val="multilevel"/>
    <w:tmpl w:val="5AC90D0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7BB17E6"/>
    <w:multiLevelType w:val="multilevel"/>
    <w:tmpl w:val="77BB17E6"/>
    <w:lvl w:ilvl="0" w:tentative="0">
      <w:start w:val="1"/>
      <w:numFmt w:val="decimal"/>
      <w:lvlText w:val="%1)"/>
      <w:lvlJc w:val="left"/>
      <w:pPr>
        <w:tabs>
          <w:tab w:val="left" w:pos="420"/>
        </w:tabs>
        <w:ind w:left="420" w:hanging="420"/>
      </w:pPr>
      <w:rPr>
        <w:rFonts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3"/>
  </w:num>
  <w:num w:numId="2">
    <w:abstractNumId w:val="2"/>
  </w:num>
  <w:num w:numId="3">
    <w:abstractNumId w:val="1"/>
  </w:num>
  <w:num w:numId="4">
    <w:abstractNumId w:val="4"/>
  </w:num>
  <w:num w:numId="5">
    <w:abstractNumId w:val="8"/>
  </w:num>
  <w:num w:numId="6">
    <w:abstractNumId w:val="14"/>
  </w:num>
  <w:num w:numId="7">
    <w:abstractNumId w:val="0"/>
  </w:num>
  <w:num w:numId="8">
    <w:abstractNumId w:val="12"/>
  </w:num>
  <w:num w:numId="9">
    <w:abstractNumId w:val="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49E3"/>
    <w:rsid w:val="00014BC8"/>
    <w:rsid w:val="00015595"/>
    <w:rsid w:val="00021D72"/>
    <w:rsid w:val="0003122E"/>
    <w:rsid w:val="00040C9D"/>
    <w:rsid w:val="000713C9"/>
    <w:rsid w:val="000955A1"/>
    <w:rsid w:val="00096714"/>
    <w:rsid w:val="000C08F0"/>
    <w:rsid w:val="000C1004"/>
    <w:rsid w:val="000D1FD9"/>
    <w:rsid w:val="000F1559"/>
    <w:rsid w:val="000F2C51"/>
    <w:rsid w:val="00103325"/>
    <w:rsid w:val="0010792C"/>
    <w:rsid w:val="0011641D"/>
    <w:rsid w:val="001264ED"/>
    <w:rsid w:val="001318BC"/>
    <w:rsid w:val="00157AD0"/>
    <w:rsid w:val="00181265"/>
    <w:rsid w:val="00187058"/>
    <w:rsid w:val="00190F15"/>
    <w:rsid w:val="001C5E89"/>
    <w:rsid w:val="001D6E4E"/>
    <w:rsid w:val="00203449"/>
    <w:rsid w:val="00203606"/>
    <w:rsid w:val="0023680D"/>
    <w:rsid w:val="00244ABE"/>
    <w:rsid w:val="002565A0"/>
    <w:rsid w:val="0026782F"/>
    <w:rsid w:val="00267E00"/>
    <w:rsid w:val="00267FDD"/>
    <w:rsid w:val="002713D1"/>
    <w:rsid w:val="00276F7F"/>
    <w:rsid w:val="00290234"/>
    <w:rsid w:val="002C285A"/>
    <w:rsid w:val="002D2A45"/>
    <w:rsid w:val="002F113D"/>
    <w:rsid w:val="0031234E"/>
    <w:rsid w:val="00322EFA"/>
    <w:rsid w:val="00344783"/>
    <w:rsid w:val="00367D4C"/>
    <w:rsid w:val="00393674"/>
    <w:rsid w:val="003D0343"/>
    <w:rsid w:val="003D7E58"/>
    <w:rsid w:val="003E0B1A"/>
    <w:rsid w:val="004007CC"/>
    <w:rsid w:val="00402B06"/>
    <w:rsid w:val="00411BF2"/>
    <w:rsid w:val="00427E3C"/>
    <w:rsid w:val="004332B5"/>
    <w:rsid w:val="00440E9F"/>
    <w:rsid w:val="00471F87"/>
    <w:rsid w:val="00495DA0"/>
    <w:rsid w:val="004B63E4"/>
    <w:rsid w:val="004C3A5B"/>
    <w:rsid w:val="004E3D71"/>
    <w:rsid w:val="004E71C3"/>
    <w:rsid w:val="004F0909"/>
    <w:rsid w:val="004F4D31"/>
    <w:rsid w:val="005022A4"/>
    <w:rsid w:val="00505146"/>
    <w:rsid w:val="005235BF"/>
    <w:rsid w:val="005448DF"/>
    <w:rsid w:val="005514BB"/>
    <w:rsid w:val="00553DD6"/>
    <w:rsid w:val="00554E3E"/>
    <w:rsid w:val="00564DBE"/>
    <w:rsid w:val="00567D8F"/>
    <w:rsid w:val="005923AA"/>
    <w:rsid w:val="005C0F7F"/>
    <w:rsid w:val="005C76AE"/>
    <w:rsid w:val="005D4EA6"/>
    <w:rsid w:val="00631EF1"/>
    <w:rsid w:val="0064639F"/>
    <w:rsid w:val="0068291D"/>
    <w:rsid w:val="006871FC"/>
    <w:rsid w:val="00692AB5"/>
    <w:rsid w:val="006A0233"/>
    <w:rsid w:val="006B1987"/>
    <w:rsid w:val="006C2699"/>
    <w:rsid w:val="006E070A"/>
    <w:rsid w:val="00707405"/>
    <w:rsid w:val="00722C1E"/>
    <w:rsid w:val="0074722A"/>
    <w:rsid w:val="007509F3"/>
    <w:rsid w:val="00760BF7"/>
    <w:rsid w:val="00766459"/>
    <w:rsid w:val="007675C8"/>
    <w:rsid w:val="007E04A3"/>
    <w:rsid w:val="00854CA6"/>
    <w:rsid w:val="00863034"/>
    <w:rsid w:val="00866EE6"/>
    <w:rsid w:val="00880AB4"/>
    <w:rsid w:val="008906A6"/>
    <w:rsid w:val="008A3C7A"/>
    <w:rsid w:val="008B4D18"/>
    <w:rsid w:val="008C31F6"/>
    <w:rsid w:val="008D1E13"/>
    <w:rsid w:val="008E2E20"/>
    <w:rsid w:val="008F15EE"/>
    <w:rsid w:val="009333FC"/>
    <w:rsid w:val="00936856"/>
    <w:rsid w:val="009609FC"/>
    <w:rsid w:val="00963164"/>
    <w:rsid w:val="00973F91"/>
    <w:rsid w:val="009801EB"/>
    <w:rsid w:val="0099228E"/>
    <w:rsid w:val="00993196"/>
    <w:rsid w:val="009C18C1"/>
    <w:rsid w:val="009D2DA4"/>
    <w:rsid w:val="009D3EBB"/>
    <w:rsid w:val="009E1B37"/>
    <w:rsid w:val="00A132A2"/>
    <w:rsid w:val="00A13CBA"/>
    <w:rsid w:val="00A26992"/>
    <w:rsid w:val="00A33984"/>
    <w:rsid w:val="00A413FD"/>
    <w:rsid w:val="00A41FA8"/>
    <w:rsid w:val="00A549E3"/>
    <w:rsid w:val="00A60F04"/>
    <w:rsid w:val="00A73329"/>
    <w:rsid w:val="00A803B4"/>
    <w:rsid w:val="00AA300E"/>
    <w:rsid w:val="00B0290C"/>
    <w:rsid w:val="00B143BB"/>
    <w:rsid w:val="00B221F7"/>
    <w:rsid w:val="00B45FDC"/>
    <w:rsid w:val="00B56C54"/>
    <w:rsid w:val="00B822FD"/>
    <w:rsid w:val="00B86999"/>
    <w:rsid w:val="00BE6330"/>
    <w:rsid w:val="00C01B39"/>
    <w:rsid w:val="00C0542D"/>
    <w:rsid w:val="00C11CF0"/>
    <w:rsid w:val="00C322E3"/>
    <w:rsid w:val="00C43312"/>
    <w:rsid w:val="00C62C3B"/>
    <w:rsid w:val="00C7395A"/>
    <w:rsid w:val="00C74E60"/>
    <w:rsid w:val="00CA0D99"/>
    <w:rsid w:val="00CD20F8"/>
    <w:rsid w:val="00D079F2"/>
    <w:rsid w:val="00D07CAD"/>
    <w:rsid w:val="00D23747"/>
    <w:rsid w:val="00D25AEF"/>
    <w:rsid w:val="00D3285B"/>
    <w:rsid w:val="00D32DC8"/>
    <w:rsid w:val="00D47CED"/>
    <w:rsid w:val="00D734BF"/>
    <w:rsid w:val="00DA01B0"/>
    <w:rsid w:val="00DC60D2"/>
    <w:rsid w:val="00DD3FD2"/>
    <w:rsid w:val="00E14B88"/>
    <w:rsid w:val="00E34A6C"/>
    <w:rsid w:val="00E55A07"/>
    <w:rsid w:val="00E60660"/>
    <w:rsid w:val="00E742A3"/>
    <w:rsid w:val="00E90886"/>
    <w:rsid w:val="00E9328D"/>
    <w:rsid w:val="00EA5BCC"/>
    <w:rsid w:val="00EB146D"/>
    <w:rsid w:val="00EB5BDF"/>
    <w:rsid w:val="00EC1D5A"/>
    <w:rsid w:val="00ED1CD2"/>
    <w:rsid w:val="00ED679A"/>
    <w:rsid w:val="00EE151B"/>
    <w:rsid w:val="00EE4BA5"/>
    <w:rsid w:val="00EF38A4"/>
    <w:rsid w:val="00EF761E"/>
    <w:rsid w:val="00F07E7E"/>
    <w:rsid w:val="00F30328"/>
    <w:rsid w:val="00F31A60"/>
    <w:rsid w:val="00F33358"/>
    <w:rsid w:val="00F370AC"/>
    <w:rsid w:val="00F81DD4"/>
    <w:rsid w:val="00F850E6"/>
    <w:rsid w:val="00F93B9B"/>
    <w:rsid w:val="00FA0A4A"/>
    <w:rsid w:val="00FA6C74"/>
    <w:rsid w:val="00FB1E1B"/>
    <w:rsid w:val="00FC34C4"/>
    <w:rsid w:val="00FC66C7"/>
    <w:rsid w:val="00FD646E"/>
    <w:rsid w:val="00FF2E3B"/>
    <w:rsid w:val="015D574F"/>
    <w:rsid w:val="04167FD6"/>
    <w:rsid w:val="04487B3A"/>
    <w:rsid w:val="05FF1BFA"/>
    <w:rsid w:val="074C6559"/>
    <w:rsid w:val="083B2196"/>
    <w:rsid w:val="083F6BC4"/>
    <w:rsid w:val="0A2521D4"/>
    <w:rsid w:val="0A5518EA"/>
    <w:rsid w:val="0AB97A31"/>
    <w:rsid w:val="0CF5689F"/>
    <w:rsid w:val="14D63773"/>
    <w:rsid w:val="1599115A"/>
    <w:rsid w:val="163459C6"/>
    <w:rsid w:val="164D3000"/>
    <w:rsid w:val="17100C22"/>
    <w:rsid w:val="17F931D6"/>
    <w:rsid w:val="1A185D00"/>
    <w:rsid w:val="1B37179F"/>
    <w:rsid w:val="1EFE2C98"/>
    <w:rsid w:val="21ED4501"/>
    <w:rsid w:val="23AD6E1E"/>
    <w:rsid w:val="243D5BDE"/>
    <w:rsid w:val="258B79AB"/>
    <w:rsid w:val="264934AB"/>
    <w:rsid w:val="27F611FC"/>
    <w:rsid w:val="28537D89"/>
    <w:rsid w:val="2A40563A"/>
    <w:rsid w:val="2B2027B0"/>
    <w:rsid w:val="2B2F7BFE"/>
    <w:rsid w:val="2C7D0803"/>
    <w:rsid w:val="2CD420AA"/>
    <w:rsid w:val="2CD60826"/>
    <w:rsid w:val="2D0440B4"/>
    <w:rsid w:val="2EE06B00"/>
    <w:rsid w:val="2F2D33CA"/>
    <w:rsid w:val="2F4008AC"/>
    <w:rsid w:val="2F9320EC"/>
    <w:rsid w:val="305442D8"/>
    <w:rsid w:val="30BD5875"/>
    <w:rsid w:val="31251BBA"/>
    <w:rsid w:val="32F55279"/>
    <w:rsid w:val="35607931"/>
    <w:rsid w:val="3607782F"/>
    <w:rsid w:val="366F1D3F"/>
    <w:rsid w:val="383E2B58"/>
    <w:rsid w:val="3A0E7C19"/>
    <w:rsid w:val="3D8249B1"/>
    <w:rsid w:val="3F3718DD"/>
    <w:rsid w:val="40243D94"/>
    <w:rsid w:val="429E28E5"/>
    <w:rsid w:val="436A7AF4"/>
    <w:rsid w:val="44111EC2"/>
    <w:rsid w:val="44C62560"/>
    <w:rsid w:val="45602E98"/>
    <w:rsid w:val="47AA7C17"/>
    <w:rsid w:val="48291251"/>
    <w:rsid w:val="491D363D"/>
    <w:rsid w:val="49485682"/>
    <w:rsid w:val="4E94228C"/>
    <w:rsid w:val="50136A75"/>
    <w:rsid w:val="521B2A65"/>
    <w:rsid w:val="58ED6EA8"/>
    <w:rsid w:val="5CD21B0D"/>
    <w:rsid w:val="5F35173F"/>
    <w:rsid w:val="61E56C4C"/>
    <w:rsid w:val="64DE7E73"/>
    <w:rsid w:val="66CC2F05"/>
    <w:rsid w:val="688D087F"/>
    <w:rsid w:val="69F74505"/>
    <w:rsid w:val="6A261F92"/>
    <w:rsid w:val="6ADE5943"/>
    <w:rsid w:val="6B1B3310"/>
    <w:rsid w:val="6B8168BA"/>
    <w:rsid w:val="6ED61C20"/>
    <w:rsid w:val="6F2F6A07"/>
    <w:rsid w:val="72C6393A"/>
    <w:rsid w:val="739724CD"/>
    <w:rsid w:val="747D2E95"/>
    <w:rsid w:val="77AA7A22"/>
    <w:rsid w:val="787F1D37"/>
    <w:rsid w:val="7AB33759"/>
    <w:rsid w:val="7EAE0F6B"/>
    <w:rsid w:val="7FA8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ind w:left="1980"/>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unhideWhenUsed/>
    <w:qFormat/>
    <w:uiPriority w:val="99"/>
    <w:pPr>
      <w:ind w:firstLine="420" w:firstLineChars="100"/>
    </w:pPr>
    <w:rPr>
      <w:rFonts w:ascii="Calibri" w:hAnsi="Calibri"/>
    </w:rPr>
  </w:style>
  <w:style w:type="paragraph" w:styleId="13">
    <w:name w:val="toc 7"/>
    <w:basedOn w:val="1"/>
    <w:next w:val="1"/>
    <w:semiHidden/>
    <w:uiPriority w:val="0"/>
    <w:pPr>
      <w:ind w:left="1260"/>
      <w:jc w:val="left"/>
    </w:pPr>
    <w:rPr>
      <w:rFonts w:ascii="Calibri" w:hAnsi="Calibri" w:cs="Calibri"/>
      <w:sz w:val="18"/>
      <w:szCs w:val="18"/>
    </w:rPr>
  </w:style>
  <w:style w:type="paragraph" w:styleId="14">
    <w:name w:val="Normal Indent"/>
    <w:basedOn w:val="1"/>
    <w:link w:val="36"/>
    <w:qFormat/>
    <w:uiPriority w:val="0"/>
    <w:pPr>
      <w:ind w:firstLine="420"/>
    </w:pPr>
    <w:rPr>
      <w:rFonts w:ascii="宋体" w:hAnsi="Courier New"/>
      <w:szCs w:val="20"/>
    </w:rPr>
  </w:style>
  <w:style w:type="paragraph" w:styleId="15">
    <w:name w:val="Body Text Indent"/>
    <w:basedOn w:val="1"/>
    <w:uiPriority w:val="0"/>
    <w:pPr>
      <w:spacing w:after="120"/>
      <w:ind w:left="420" w:leftChars="200"/>
    </w:pPr>
    <w:rPr>
      <w:rFonts w:ascii="华文细黑" w:hAnsi="宋体" w:eastAsia="华文细黑"/>
      <w:color w:val="333333"/>
      <w:sz w:val="24"/>
    </w:rPr>
  </w:style>
  <w:style w:type="paragraph" w:styleId="16">
    <w:name w:val="List Bullet 2"/>
    <w:basedOn w:val="1"/>
    <w:uiPriority w:val="0"/>
    <w:pPr>
      <w:tabs>
        <w:tab w:val="left" w:pos="780"/>
      </w:tabs>
      <w:ind w:left="780" w:hanging="360"/>
    </w:pPr>
  </w:style>
  <w:style w:type="paragraph" w:styleId="17">
    <w:name w:val="toc 5"/>
    <w:basedOn w:val="1"/>
    <w:next w:val="1"/>
    <w:semiHidden/>
    <w:uiPriority w:val="0"/>
    <w:pPr>
      <w:ind w:left="840"/>
      <w:jc w:val="left"/>
    </w:pPr>
    <w:rPr>
      <w:rFonts w:ascii="Calibri" w:hAnsi="Calibri" w:cs="Calibri"/>
      <w:sz w:val="18"/>
      <w:szCs w:val="18"/>
    </w:rPr>
  </w:style>
  <w:style w:type="paragraph" w:styleId="18">
    <w:name w:val="toc 3"/>
    <w:basedOn w:val="1"/>
    <w:next w:val="1"/>
    <w:uiPriority w:val="39"/>
    <w:pPr>
      <w:ind w:left="420"/>
      <w:jc w:val="left"/>
    </w:pPr>
    <w:rPr>
      <w:rFonts w:ascii="Calibri" w:hAnsi="Calibri" w:cs="Calibri"/>
      <w:i/>
      <w:iCs/>
      <w:sz w:val="20"/>
      <w:szCs w:val="20"/>
    </w:rPr>
  </w:style>
  <w:style w:type="paragraph" w:styleId="19">
    <w:name w:val="toc 8"/>
    <w:basedOn w:val="1"/>
    <w:next w:val="1"/>
    <w:semiHidden/>
    <w:uiPriority w:val="0"/>
    <w:pPr>
      <w:ind w:left="1470"/>
      <w:jc w:val="left"/>
    </w:pPr>
    <w:rPr>
      <w:rFonts w:ascii="Calibri" w:hAnsi="Calibri" w:cs="Calibri"/>
      <w:sz w:val="18"/>
      <w:szCs w:val="18"/>
    </w:rPr>
  </w:style>
  <w:style w:type="paragraph" w:styleId="20">
    <w:name w:val="Body Text Indent 2"/>
    <w:basedOn w:val="1"/>
    <w:uiPriority w:val="0"/>
    <w:pPr>
      <w:spacing w:after="120" w:line="480" w:lineRule="auto"/>
      <w:ind w:left="420" w:leftChars="200"/>
    </w:pPr>
  </w:style>
  <w:style w:type="paragraph" w:styleId="21">
    <w:name w:val="footer"/>
    <w:basedOn w:val="1"/>
    <w:link w:val="35"/>
    <w:uiPriority w:val="99"/>
    <w:pPr>
      <w:tabs>
        <w:tab w:val="center" w:pos="4153"/>
        <w:tab w:val="right" w:pos="8306"/>
      </w:tabs>
      <w:snapToGrid w:val="0"/>
      <w:jc w:val="left"/>
    </w:pPr>
    <w:rPr>
      <w:sz w:val="18"/>
      <w:szCs w:val="18"/>
    </w:rPr>
  </w:style>
  <w:style w:type="paragraph" w:styleId="22">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iPriority w:val="39"/>
    <w:pPr>
      <w:spacing w:before="120" w:after="120"/>
      <w:jc w:val="left"/>
    </w:pPr>
    <w:rPr>
      <w:rFonts w:ascii="Calibri" w:hAnsi="Calibri" w:cs="Calibri"/>
      <w:b/>
      <w:bCs/>
      <w:caps/>
      <w:sz w:val="20"/>
      <w:szCs w:val="20"/>
    </w:rPr>
  </w:style>
  <w:style w:type="paragraph" w:styleId="24">
    <w:name w:val="toc 4"/>
    <w:basedOn w:val="1"/>
    <w:next w:val="1"/>
    <w:semiHidden/>
    <w:uiPriority w:val="0"/>
    <w:pPr>
      <w:ind w:left="630"/>
      <w:jc w:val="left"/>
    </w:pPr>
    <w:rPr>
      <w:rFonts w:ascii="Calibri" w:hAnsi="Calibri" w:cs="Calibri"/>
      <w:sz w:val="18"/>
      <w:szCs w:val="18"/>
    </w:rPr>
  </w:style>
  <w:style w:type="paragraph" w:styleId="25">
    <w:name w:val="toc 6"/>
    <w:basedOn w:val="1"/>
    <w:next w:val="1"/>
    <w:semiHidden/>
    <w:uiPriority w:val="0"/>
    <w:pPr>
      <w:ind w:left="1050"/>
      <w:jc w:val="left"/>
    </w:pPr>
    <w:rPr>
      <w:rFonts w:ascii="Calibri" w:hAnsi="Calibri" w:cs="Calibri"/>
      <w:sz w:val="18"/>
      <w:szCs w:val="18"/>
    </w:rPr>
  </w:style>
  <w:style w:type="paragraph" w:styleId="26">
    <w:name w:val="toc 2"/>
    <w:basedOn w:val="1"/>
    <w:next w:val="1"/>
    <w:uiPriority w:val="39"/>
    <w:pPr>
      <w:ind w:left="210"/>
      <w:jc w:val="left"/>
    </w:pPr>
    <w:rPr>
      <w:rFonts w:ascii="Calibri" w:hAnsi="Calibri" w:cs="Calibri"/>
      <w:smallCaps/>
      <w:sz w:val="20"/>
      <w:szCs w:val="20"/>
    </w:rPr>
  </w:style>
  <w:style w:type="paragraph" w:styleId="27">
    <w:name w:val="toc 9"/>
    <w:basedOn w:val="1"/>
    <w:next w:val="1"/>
    <w:semiHidden/>
    <w:uiPriority w:val="0"/>
    <w:pPr>
      <w:ind w:left="1680"/>
      <w:jc w:val="left"/>
    </w:pPr>
    <w:rPr>
      <w:rFonts w:ascii="Calibri" w:hAnsi="Calibri" w:cs="Calibri"/>
      <w:sz w:val="18"/>
      <w:szCs w:val="18"/>
    </w:rPr>
  </w:style>
  <w:style w:type="paragraph" w:styleId="28">
    <w:name w:val="Normal (Web)"/>
    <w:basedOn w:val="1"/>
    <w:uiPriority w:val="0"/>
    <w:pPr>
      <w:spacing w:before="100" w:beforeAutospacing="1" w:after="100" w:afterAutospacing="1"/>
      <w:jc w:val="left"/>
    </w:pPr>
    <w:rPr>
      <w:kern w:val="0"/>
      <w:sz w:val="24"/>
    </w:rPr>
  </w:style>
  <w:style w:type="table" w:styleId="30">
    <w:name w:val="Table Grid"/>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Hyperlink"/>
    <w:uiPriority w:val="99"/>
    <w:rPr>
      <w:color w:val="0000FF"/>
      <w:u w:val="single"/>
    </w:rPr>
  </w:style>
  <w:style w:type="character" w:customStyle="1" w:styleId="34">
    <w:name w:val="unde"/>
    <w:uiPriority w:val="0"/>
  </w:style>
  <w:style w:type="character" w:customStyle="1" w:styleId="35">
    <w:name w:val="页脚 Char"/>
    <w:link w:val="21"/>
    <w:uiPriority w:val="99"/>
    <w:rPr>
      <w:kern w:val="2"/>
      <w:sz w:val="18"/>
      <w:szCs w:val="18"/>
    </w:rPr>
  </w:style>
  <w:style w:type="character" w:customStyle="1" w:styleId="36">
    <w:name w:val="正文缩进 Char"/>
    <w:link w:val="14"/>
    <w:qFormat/>
    <w:uiPriority w:val="0"/>
    <w:rPr>
      <w:rFonts w:ascii="宋体" w:hAnsi="Courier New"/>
      <w:kern w:val="2"/>
      <w:sz w:val="21"/>
    </w:rPr>
  </w:style>
  <w:style w:type="character" w:customStyle="1" w:styleId="37">
    <w:name w:val="页眉 Char"/>
    <w:link w:val="22"/>
    <w:uiPriority w:val="0"/>
    <w:rPr>
      <w:kern w:val="2"/>
      <w:sz w:val="18"/>
      <w:szCs w:val="18"/>
    </w:rPr>
  </w:style>
  <w:style w:type="paragraph" w:customStyle="1" w:styleId="38">
    <w:name w:val="herd"/>
    <w:basedOn w:val="1"/>
    <w:uiPriority w:val="0"/>
    <w:pPr>
      <w:autoSpaceDE w:val="0"/>
      <w:autoSpaceDN w:val="0"/>
      <w:adjustRightInd w:val="0"/>
      <w:spacing w:line="360" w:lineRule="auto"/>
      <w:ind w:firstLine="562" w:firstLineChars="200"/>
    </w:pPr>
    <w:rPr>
      <w:rFonts w:ascii="楷体_GB2312"/>
    </w:rPr>
  </w:style>
  <w:style w:type="paragraph" w:styleId="39">
    <w:name w:val="List Paragraph"/>
    <w:basedOn w:val="1"/>
    <w:qFormat/>
    <w:uiPriority w:val="0"/>
    <w:pPr>
      <w:ind w:firstLine="420" w:firstLineChars="200"/>
    </w:pPr>
    <w:rPr>
      <w:rFonts w:ascii="Calibri" w:hAnsi="Calibri"/>
    </w:rPr>
  </w:style>
  <w:style w:type="paragraph" w:customStyle="1" w:styleId="40">
    <w:name w:val="Char Char Char Char Char Char Char"/>
    <w:basedOn w:val="1"/>
    <w:uiPriority w:val="0"/>
    <w:pPr>
      <w:tabs>
        <w:tab w:val="left" w:pos="432"/>
      </w:tabs>
      <w:ind w:left="432" w:hanging="432"/>
      <w:jc w:val="center"/>
    </w:pPr>
    <w:rPr>
      <w:rFonts w:ascii="仿宋_GB2312" w:hAnsi="Tahoma" w:eastAsia="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21</Pages>
  <Words>1626</Words>
  <Characters>9274</Characters>
  <Lines>77</Lines>
  <Paragraphs>21</Paragraphs>
  <TotalTime>5</TotalTime>
  <ScaleCrop>false</ScaleCrop>
  <LinksUpToDate>false</LinksUpToDate>
  <CharactersWithSpaces>10879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2021-07-05T02:51:00Z</dcterms:created>
  <dc:creator>hlb</dc:creator>
  <cp:lastModifiedBy>Administrator</cp:lastModifiedBy>
  <dcterms:modified xsi:type="dcterms:W3CDTF">2021-07-06T01:17:49Z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7656459C93B3483387D5CFE3433AAA1A</vt:lpwstr>
  </property>
</Properties>
</file>